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24C9B" w14:textId="5699DE77" w:rsidR="000E24FB" w:rsidRPr="000E24FB" w:rsidRDefault="005E0BE3" w:rsidP="000E24FB">
      <w:pPr>
        <w:pStyle w:val="Heading1"/>
      </w:pPr>
      <w:bookmarkStart w:id="0" w:name="_Hlk52296678"/>
      <w:r>
        <w:t>Target Market Determination</w:t>
      </w:r>
      <w:r w:rsidRPr="004A72B5">
        <w:t>: Low Deposit Home Loan</w:t>
      </w:r>
    </w:p>
    <w:p w14:paraId="2B6E5348" w14:textId="77777777" w:rsidR="002E196E" w:rsidRDefault="002E196E" w:rsidP="002E196E">
      <w:pPr>
        <w:pStyle w:val="Heading2"/>
      </w:pPr>
      <w:r>
        <w:t>What's a Target Market Determination?</w:t>
      </w:r>
    </w:p>
    <w:p w14:paraId="427DA96D" w14:textId="612EF4CA" w:rsidR="002E196E" w:rsidRDefault="002E196E" w:rsidP="00FA44C9">
      <w:pPr>
        <w:spacing w:before="0"/>
      </w:pPr>
      <w:r>
        <w:t>A Target Market Determination (TMD) is a written document that describes the target market for a product (</w:t>
      </w:r>
      <w:proofErr w:type="spellStart"/>
      <w:r>
        <w:t>ie</w:t>
      </w:r>
      <w:proofErr w:type="spellEnd"/>
      <w:r>
        <w:t>, who a product is appropriate for), the key attributes of a product and how a product is being distributed. A TMD also sets out when reviews need to be conducted and the relevant information that is needed by distributors of the products to identify the need for a review.</w:t>
      </w:r>
      <w:r w:rsidR="00247E05">
        <w:t xml:space="preserve"> </w:t>
      </w:r>
      <w:r w:rsidR="00181866">
        <w:t xml:space="preserve">A TMD is not a determination that any person is within the target market for a product. </w:t>
      </w:r>
      <w:r w:rsidR="00323337">
        <w:t xml:space="preserve">A TMD </w:t>
      </w:r>
      <w:r w:rsidR="00181866">
        <w:t xml:space="preserve">does not summarise all terms, criteria or obligations associated with a product. </w:t>
      </w:r>
      <w:r w:rsidR="00247E05">
        <w:t xml:space="preserve">For more information about TMDs go to </w:t>
      </w:r>
      <w:hyperlink r:id="rId11" w:history="1">
        <w:r w:rsidR="00247E05" w:rsidRPr="00B81E0C">
          <w:rPr>
            <w:rStyle w:val="Hyperlink"/>
            <w:color w:val="0066E0" w:themeColor="accent5"/>
          </w:rPr>
          <w:t>Target Market Determination | Keystart</w:t>
        </w:r>
      </w:hyperlink>
      <w:r w:rsidR="00247E05" w:rsidRPr="004B56D5">
        <w:t xml:space="preserve">.  </w:t>
      </w:r>
      <w:r w:rsidR="00247E05">
        <w:t xml:space="preserve">For more information about </w:t>
      </w:r>
      <w:r w:rsidR="00181866">
        <w:t>our low deposit home loan go to</w:t>
      </w:r>
      <w:r w:rsidR="00181866" w:rsidRPr="004B56D5">
        <w:t xml:space="preserve"> </w:t>
      </w:r>
      <w:hyperlink r:id="rId12" w:history="1">
        <w:r w:rsidR="00181866" w:rsidRPr="00B81E0C">
          <w:rPr>
            <w:rStyle w:val="Hyperlink"/>
            <w:color w:val="0066E0" w:themeColor="accent5"/>
          </w:rPr>
          <w:t>Low Deposit Home Loan (keystart.com.au)</w:t>
        </w:r>
      </w:hyperlink>
      <w:r w:rsidR="00181866">
        <w:t>.</w:t>
      </w:r>
    </w:p>
    <w:p w14:paraId="625E6429" w14:textId="0A3F82A7" w:rsidR="000E24FB" w:rsidRPr="000E24FB" w:rsidRDefault="002E196E" w:rsidP="002E196E">
      <w:r>
        <w:t>TMDs keep customers at the centre of our approach to the design and distribution of our financial products.</w:t>
      </w:r>
      <w:r w:rsidR="000E24FB">
        <w:br/>
      </w:r>
    </w:p>
    <w:tbl>
      <w:tblPr>
        <w:tblStyle w:val="ListTable3-Accent5"/>
        <w:tblW w:w="13750" w:type="dxa"/>
        <w:tblBorders>
          <w:left w:val="none" w:sz="0" w:space="0" w:color="auto"/>
          <w:right w:val="none" w:sz="0" w:space="0" w:color="auto"/>
          <w:insideH w:val="single" w:sz="4" w:space="0" w:color="0066E0" w:themeColor="accent5"/>
        </w:tblBorders>
        <w:tblLook w:val="04A0" w:firstRow="1" w:lastRow="0" w:firstColumn="1" w:lastColumn="0" w:noHBand="0" w:noVBand="1"/>
      </w:tblPr>
      <w:tblGrid>
        <w:gridCol w:w="449"/>
        <w:gridCol w:w="2614"/>
        <w:gridCol w:w="1899"/>
        <w:gridCol w:w="8788"/>
      </w:tblGrid>
      <w:tr w:rsidR="003F6E7F" w:rsidRPr="000E24FB" w14:paraId="49DC58EC" w14:textId="436BDAF2" w:rsidTr="00D84A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9" w:type="dxa"/>
          </w:tcPr>
          <w:bookmarkEnd w:id="0"/>
          <w:p w14:paraId="5A356457" w14:textId="77777777" w:rsidR="003F6E7F" w:rsidRPr="00011500" w:rsidRDefault="003F6E7F" w:rsidP="000E24FB">
            <w:pPr>
              <w:pStyle w:val="Tableheading1"/>
              <w:rPr>
                <w:color w:val="FFFFFF" w:themeColor="background1"/>
              </w:rPr>
            </w:pPr>
            <w:r w:rsidRPr="00011500">
              <w:rPr>
                <w:color w:val="FFFFFF" w:themeColor="background1"/>
              </w:rPr>
              <w:t>#</w:t>
            </w:r>
          </w:p>
        </w:tc>
        <w:tc>
          <w:tcPr>
            <w:tcW w:w="2614" w:type="dxa"/>
          </w:tcPr>
          <w:p w14:paraId="4D574994" w14:textId="77777777" w:rsidR="003F6E7F" w:rsidRPr="000E24FB" w:rsidRDefault="003F6E7F" w:rsidP="000E24FB">
            <w:pPr>
              <w:pStyle w:val="Tableheading1"/>
              <w:cnfStyle w:val="100000000000" w:firstRow="1" w:lastRow="0" w:firstColumn="0" w:lastColumn="0" w:oddVBand="0" w:evenVBand="0" w:oddHBand="0" w:evenHBand="0" w:firstRowFirstColumn="0" w:firstRowLastColumn="0" w:lastRowFirstColumn="0" w:lastRowLastColumn="0"/>
              <w:rPr>
                <w:b/>
                <w:color w:val="FFFFFF" w:themeColor="background1"/>
              </w:rPr>
            </w:pPr>
            <w:r w:rsidRPr="000E24FB">
              <w:rPr>
                <w:b/>
                <w:color w:val="FFFFFF" w:themeColor="background1"/>
              </w:rPr>
              <w:t xml:space="preserve">Criteria </w:t>
            </w:r>
          </w:p>
        </w:tc>
        <w:tc>
          <w:tcPr>
            <w:tcW w:w="10687" w:type="dxa"/>
            <w:gridSpan w:val="2"/>
          </w:tcPr>
          <w:p w14:paraId="28AE82CA" w14:textId="77777777" w:rsidR="003F6E7F" w:rsidRPr="000E24FB" w:rsidRDefault="003F6E7F" w:rsidP="000E24FB">
            <w:pPr>
              <w:pStyle w:val="Tableheading1"/>
              <w:cnfStyle w:val="100000000000" w:firstRow="1"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 xml:space="preserve">Responses </w:t>
            </w:r>
            <w:proofErr w:type="gramStart"/>
            <w:r>
              <w:rPr>
                <w:b/>
                <w:color w:val="FFFFFF" w:themeColor="background1"/>
              </w:rPr>
              <w:t>for</w:t>
            </w:r>
            <w:proofErr w:type="gramEnd"/>
            <w:r>
              <w:rPr>
                <w:b/>
                <w:color w:val="FFFFFF" w:themeColor="background1"/>
              </w:rPr>
              <w:t xml:space="preserve"> this p</w:t>
            </w:r>
            <w:r w:rsidRPr="000E24FB">
              <w:rPr>
                <w:b/>
                <w:color w:val="FFFFFF" w:themeColor="background1"/>
              </w:rPr>
              <w:t>roduct</w:t>
            </w:r>
          </w:p>
        </w:tc>
      </w:tr>
      <w:tr w:rsidR="003F6E7F" w:rsidRPr="000E24FB" w14:paraId="163BB7C3" w14:textId="5F07E0E9" w:rsidTr="00D84A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 w:type="dxa"/>
          </w:tcPr>
          <w:p w14:paraId="254C31E6" w14:textId="77777777" w:rsidR="003F6E7F" w:rsidRPr="008345D4" w:rsidRDefault="003F6E7F" w:rsidP="00011500">
            <w:pPr>
              <w:pStyle w:val="Tabletext"/>
            </w:pPr>
            <w:r w:rsidRPr="008345D4">
              <w:t>1</w:t>
            </w:r>
          </w:p>
        </w:tc>
        <w:tc>
          <w:tcPr>
            <w:tcW w:w="2614" w:type="dxa"/>
          </w:tcPr>
          <w:p w14:paraId="77230810" w14:textId="5735D319" w:rsidR="003F6E7F" w:rsidRPr="00D84A9D" w:rsidRDefault="003F6E7F" w:rsidP="0009506C">
            <w:pPr>
              <w:pStyle w:val="Tabletext"/>
              <w:cnfStyle w:val="000000100000" w:firstRow="0" w:lastRow="0" w:firstColumn="0" w:lastColumn="0" w:oddVBand="0" w:evenVBand="0" w:oddHBand="1" w:evenHBand="0" w:firstRowFirstColumn="0" w:firstRowLastColumn="0" w:lastRowFirstColumn="0" w:lastRowLastColumn="0"/>
              <w:rPr>
                <w:b/>
                <w:bCs/>
              </w:rPr>
            </w:pPr>
            <w:r w:rsidRPr="00D84A9D">
              <w:rPr>
                <w:b/>
                <w:bCs/>
              </w:rPr>
              <w:t>Issuer</w:t>
            </w:r>
          </w:p>
        </w:tc>
        <w:tc>
          <w:tcPr>
            <w:tcW w:w="10687" w:type="dxa"/>
            <w:gridSpan w:val="2"/>
          </w:tcPr>
          <w:p w14:paraId="15F940E8" w14:textId="238A646E" w:rsidR="003F6E7F" w:rsidRPr="000E24FB" w:rsidRDefault="003F6E7F" w:rsidP="0009506C">
            <w:pPr>
              <w:pStyle w:val="Tabletext"/>
              <w:cnfStyle w:val="000000100000" w:firstRow="0" w:lastRow="0" w:firstColumn="0" w:lastColumn="0" w:oddVBand="0" w:evenVBand="0" w:oddHBand="1" w:evenHBand="0" w:firstRowFirstColumn="0" w:firstRowLastColumn="0" w:lastRowFirstColumn="0" w:lastRowLastColumn="0"/>
            </w:pPr>
            <w:r w:rsidRPr="000E24FB">
              <w:t xml:space="preserve">Keystart </w:t>
            </w:r>
            <w:r w:rsidR="00F22A6D">
              <w:t>ABN</w:t>
            </w:r>
            <w:r w:rsidR="00545E0C">
              <w:t xml:space="preserve"> 74 917 </w:t>
            </w:r>
            <w:r w:rsidR="00B41DFF">
              <w:t>542 588</w:t>
            </w:r>
            <w:r w:rsidR="009D2110">
              <w:t xml:space="preserve"> (</w:t>
            </w:r>
            <w:r w:rsidRPr="000E24FB">
              <w:t xml:space="preserve">Australian </w:t>
            </w:r>
            <w:r w:rsidR="00B41DFF">
              <w:t>C</w:t>
            </w:r>
            <w:r w:rsidR="00B41DFF" w:rsidRPr="000E24FB">
              <w:t xml:space="preserve">redit </w:t>
            </w:r>
            <w:r w:rsidR="00B41DFF">
              <w:t>L</w:t>
            </w:r>
            <w:r w:rsidR="00B41DFF" w:rsidRPr="000E24FB">
              <w:t xml:space="preserve">icence </w:t>
            </w:r>
            <w:r w:rsidR="00B41DFF">
              <w:t>N</w:t>
            </w:r>
            <w:r w:rsidRPr="000E24FB">
              <w:t xml:space="preserve">umber </w:t>
            </w:r>
            <w:r w:rsidR="009D2110">
              <w:t>568102</w:t>
            </w:r>
            <w:r>
              <w:t xml:space="preserve">) </w:t>
            </w:r>
          </w:p>
        </w:tc>
      </w:tr>
      <w:tr w:rsidR="003F6E7F" w:rsidRPr="000E24FB" w14:paraId="57446214" w14:textId="564FD2ED" w:rsidTr="00D84A9D">
        <w:trPr>
          <w:trHeight w:val="564"/>
        </w:trPr>
        <w:tc>
          <w:tcPr>
            <w:cnfStyle w:val="001000000000" w:firstRow="0" w:lastRow="0" w:firstColumn="1" w:lastColumn="0" w:oddVBand="0" w:evenVBand="0" w:oddHBand="0" w:evenHBand="0" w:firstRowFirstColumn="0" w:firstRowLastColumn="0" w:lastRowFirstColumn="0" w:lastRowLastColumn="0"/>
            <w:tcW w:w="449" w:type="dxa"/>
          </w:tcPr>
          <w:p w14:paraId="0C055F27" w14:textId="77777777" w:rsidR="003F6E7F" w:rsidRPr="008345D4" w:rsidRDefault="003F6E7F" w:rsidP="00011500">
            <w:pPr>
              <w:pStyle w:val="Tabletext"/>
            </w:pPr>
            <w:r w:rsidRPr="008345D4">
              <w:t>2</w:t>
            </w:r>
          </w:p>
        </w:tc>
        <w:tc>
          <w:tcPr>
            <w:tcW w:w="2614" w:type="dxa"/>
          </w:tcPr>
          <w:p w14:paraId="45200E32" w14:textId="77777777" w:rsidR="003F6E7F" w:rsidRPr="00D84A9D" w:rsidRDefault="003F6E7F" w:rsidP="00011500">
            <w:pPr>
              <w:pStyle w:val="Tabletext"/>
              <w:cnfStyle w:val="000000000000" w:firstRow="0" w:lastRow="0" w:firstColumn="0" w:lastColumn="0" w:oddVBand="0" w:evenVBand="0" w:oddHBand="0" w:evenHBand="0" w:firstRowFirstColumn="0" w:firstRowLastColumn="0" w:lastRowFirstColumn="0" w:lastRowLastColumn="0"/>
              <w:rPr>
                <w:b/>
                <w:bCs/>
              </w:rPr>
            </w:pPr>
            <w:r w:rsidRPr="00D84A9D">
              <w:rPr>
                <w:b/>
                <w:bCs/>
              </w:rPr>
              <w:t xml:space="preserve">Date this TMD is made </w:t>
            </w:r>
          </w:p>
        </w:tc>
        <w:tc>
          <w:tcPr>
            <w:tcW w:w="10687" w:type="dxa"/>
            <w:gridSpan w:val="2"/>
          </w:tcPr>
          <w:p w14:paraId="79CD6263" w14:textId="5D73E497" w:rsidR="003F6E7F" w:rsidRPr="000E24FB" w:rsidRDefault="00067D8B" w:rsidP="00011500">
            <w:pPr>
              <w:pStyle w:val="Tabletext"/>
              <w:cnfStyle w:val="000000000000" w:firstRow="0" w:lastRow="0" w:firstColumn="0" w:lastColumn="0" w:oddVBand="0" w:evenVBand="0" w:oddHBand="0" w:evenHBand="0" w:firstRowFirstColumn="0" w:firstRowLastColumn="0" w:lastRowFirstColumn="0" w:lastRowLastColumn="0"/>
            </w:pPr>
            <w:r>
              <w:t xml:space="preserve">1 July </w:t>
            </w:r>
            <w:r w:rsidR="00D03B78">
              <w:t>2025</w:t>
            </w:r>
          </w:p>
        </w:tc>
      </w:tr>
      <w:tr w:rsidR="00E84043" w:rsidRPr="000E24FB" w14:paraId="30691574" w14:textId="362C441A" w:rsidTr="00D84A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val="restart"/>
            <w:vAlign w:val="center"/>
          </w:tcPr>
          <w:p w14:paraId="75738BAE" w14:textId="77777777" w:rsidR="00E84043" w:rsidRPr="008345D4" w:rsidRDefault="00E84043" w:rsidP="00615328">
            <w:pPr>
              <w:pStyle w:val="Tabletext"/>
            </w:pPr>
            <w:r w:rsidRPr="008345D4">
              <w:t>3</w:t>
            </w:r>
          </w:p>
        </w:tc>
        <w:tc>
          <w:tcPr>
            <w:tcW w:w="0" w:type="dxa"/>
            <w:vMerge w:val="restart"/>
            <w:vAlign w:val="center"/>
          </w:tcPr>
          <w:p w14:paraId="6CC27A0F" w14:textId="77777777" w:rsidR="00E84043" w:rsidRPr="003F15E1" w:rsidRDefault="00E84043" w:rsidP="00615328">
            <w:pPr>
              <w:pStyle w:val="Tabletext"/>
              <w:cnfStyle w:val="000000100000" w:firstRow="0" w:lastRow="0" w:firstColumn="0" w:lastColumn="0" w:oddVBand="0" w:evenVBand="0" w:oddHBand="1" w:evenHBand="0" w:firstRowFirstColumn="0" w:firstRowLastColumn="0" w:lastRowFirstColumn="0" w:lastRowLastColumn="0"/>
              <w:rPr>
                <w:b/>
                <w:bCs/>
              </w:rPr>
            </w:pPr>
            <w:r w:rsidRPr="003F15E1">
              <w:rPr>
                <w:b/>
                <w:bCs/>
              </w:rPr>
              <w:t xml:space="preserve">Product name </w:t>
            </w:r>
          </w:p>
        </w:tc>
        <w:tc>
          <w:tcPr>
            <w:tcW w:w="0" w:type="dxa"/>
            <w:gridSpan w:val="2"/>
          </w:tcPr>
          <w:p w14:paraId="7BD1885B" w14:textId="4CA14854" w:rsidR="00E84043" w:rsidRPr="000E24FB" w:rsidRDefault="00E84043" w:rsidP="00011500">
            <w:pPr>
              <w:pStyle w:val="Tabletext"/>
              <w:cnfStyle w:val="000000100000" w:firstRow="0" w:lastRow="0" w:firstColumn="0" w:lastColumn="0" w:oddVBand="0" w:evenVBand="0" w:oddHBand="1" w:evenHBand="0" w:firstRowFirstColumn="0" w:firstRowLastColumn="0" w:lastRowFirstColumn="0" w:lastRowLastColumn="0"/>
            </w:pPr>
            <w:r w:rsidRPr="000E24FB">
              <w:t>Low Deposit Home Loan</w:t>
            </w:r>
            <w:r w:rsidR="007049EF">
              <w:t>s</w:t>
            </w:r>
            <w:r w:rsidR="00D60A17">
              <w:t xml:space="preserve"> </w:t>
            </w:r>
          </w:p>
        </w:tc>
      </w:tr>
      <w:tr w:rsidR="004F0D30" w:rsidRPr="000E24FB" w14:paraId="48252842" w14:textId="77777777" w:rsidTr="00D84A9D">
        <w:tc>
          <w:tcPr>
            <w:cnfStyle w:val="001000000000" w:firstRow="0" w:lastRow="0" w:firstColumn="1" w:lastColumn="0" w:oddVBand="0" w:evenVBand="0" w:oddHBand="0" w:evenHBand="0" w:firstRowFirstColumn="0" w:firstRowLastColumn="0" w:lastRowFirstColumn="0" w:lastRowLastColumn="0"/>
            <w:tcW w:w="0" w:type="dxa"/>
            <w:vMerge/>
          </w:tcPr>
          <w:p w14:paraId="4992F01A" w14:textId="188A300E" w:rsidR="004F0D30" w:rsidRPr="008345D4" w:rsidRDefault="004F0D30" w:rsidP="00011500">
            <w:pPr>
              <w:pStyle w:val="Tabletext"/>
            </w:pPr>
          </w:p>
        </w:tc>
        <w:tc>
          <w:tcPr>
            <w:tcW w:w="0" w:type="dxa"/>
            <w:vMerge/>
          </w:tcPr>
          <w:p w14:paraId="2511FB93" w14:textId="77777777" w:rsidR="004F0D30" w:rsidRPr="00E84043" w:rsidRDefault="004F0D30" w:rsidP="00011500">
            <w:pPr>
              <w:pStyle w:val="Tabletext"/>
              <w:cnfStyle w:val="000000000000" w:firstRow="0" w:lastRow="0" w:firstColumn="0" w:lastColumn="0" w:oddVBand="0" w:evenVBand="0" w:oddHBand="0" w:evenHBand="0" w:firstRowFirstColumn="0" w:firstRowLastColumn="0" w:lastRowFirstColumn="0" w:lastRowLastColumn="0"/>
              <w:rPr>
                <w:b/>
                <w:bCs/>
              </w:rPr>
            </w:pPr>
          </w:p>
        </w:tc>
        <w:tc>
          <w:tcPr>
            <w:tcW w:w="1899" w:type="dxa"/>
            <w:vAlign w:val="center"/>
          </w:tcPr>
          <w:p w14:paraId="7ECEACFF" w14:textId="693A9AB6" w:rsidR="004F0D30" w:rsidRPr="0084284E" w:rsidRDefault="000822C5" w:rsidP="008E4089">
            <w:pPr>
              <w:pStyle w:val="Tabletext"/>
              <w:cnfStyle w:val="000000000000" w:firstRow="0" w:lastRow="0" w:firstColumn="0" w:lastColumn="0" w:oddVBand="0" w:evenVBand="0" w:oddHBand="0" w:evenHBand="0" w:firstRowFirstColumn="0" w:firstRowLastColumn="0" w:lastRowFirstColumn="0" w:lastRowLastColumn="0"/>
              <w:rPr>
                <w:b/>
                <w:bCs/>
              </w:rPr>
            </w:pPr>
            <w:r>
              <w:rPr>
                <w:b/>
                <w:bCs/>
              </w:rPr>
              <w:t>Loan Types:</w:t>
            </w:r>
          </w:p>
        </w:tc>
        <w:tc>
          <w:tcPr>
            <w:tcW w:w="8788" w:type="dxa"/>
          </w:tcPr>
          <w:p w14:paraId="47D45939" w14:textId="77777777" w:rsidR="004F0D30" w:rsidRDefault="004F0D30" w:rsidP="00011500">
            <w:pPr>
              <w:pStyle w:val="Tabletext"/>
              <w:cnfStyle w:val="000000000000" w:firstRow="0" w:lastRow="0" w:firstColumn="0" w:lastColumn="0" w:oddVBand="0" w:evenVBand="0" w:oddHBand="0" w:evenHBand="0" w:firstRowFirstColumn="0" w:firstRowLastColumn="0" w:lastRowFirstColumn="0" w:lastRowLastColumn="0"/>
            </w:pPr>
            <w:r>
              <w:t xml:space="preserve">Low Deposit Home Loan </w:t>
            </w:r>
          </w:p>
          <w:p w14:paraId="447163E2" w14:textId="77777777" w:rsidR="00287B7E" w:rsidRDefault="004F0D30" w:rsidP="008F0405">
            <w:pPr>
              <w:pStyle w:val="Tabletext"/>
              <w:cnfStyle w:val="000000000000" w:firstRow="0" w:lastRow="0" w:firstColumn="0" w:lastColumn="0" w:oddVBand="0" w:evenVBand="0" w:oddHBand="0" w:evenHBand="0" w:firstRowFirstColumn="0" w:firstRowLastColumn="0" w:lastRowFirstColumn="0" w:lastRowLastColumn="0"/>
            </w:pPr>
            <w:r>
              <w:t>Aboriginal Home Loan (Full Ownership)</w:t>
            </w:r>
          </w:p>
          <w:p w14:paraId="3DECFFFB" w14:textId="19B72790" w:rsidR="00B62E92" w:rsidRPr="000E24FB" w:rsidRDefault="00B62E92" w:rsidP="008F0405">
            <w:pPr>
              <w:pStyle w:val="Tabletext"/>
              <w:cnfStyle w:val="000000000000" w:firstRow="0" w:lastRow="0" w:firstColumn="0" w:lastColumn="0" w:oddVBand="0" w:evenVBand="0" w:oddHBand="0" w:evenHBand="0" w:firstRowFirstColumn="0" w:firstRowLastColumn="0" w:lastRowFirstColumn="0" w:lastRowLastColumn="0"/>
            </w:pPr>
            <w:r>
              <w:t>Modular Home Loan</w:t>
            </w:r>
          </w:p>
        </w:tc>
      </w:tr>
      <w:tr w:rsidR="003F6E7F" w:rsidRPr="000E24FB" w14:paraId="27184BB6" w14:textId="3986B7C9" w:rsidTr="00CE1524">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449" w:type="dxa"/>
          </w:tcPr>
          <w:p w14:paraId="4A68C97F" w14:textId="77777777" w:rsidR="003F6E7F" w:rsidRPr="00011500" w:rsidRDefault="003F6E7F" w:rsidP="00011500">
            <w:pPr>
              <w:pStyle w:val="Tabletext"/>
            </w:pPr>
            <w:r w:rsidRPr="00011500">
              <w:t>4</w:t>
            </w:r>
          </w:p>
        </w:tc>
        <w:tc>
          <w:tcPr>
            <w:tcW w:w="2614" w:type="dxa"/>
          </w:tcPr>
          <w:p w14:paraId="3106FC7B" w14:textId="7FDCC133" w:rsidR="003F6E7F" w:rsidRPr="0084284E" w:rsidRDefault="003F6E7F" w:rsidP="00011500">
            <w:pPr>
              <w:pStyle w:val="Tabletext"/>
              <w:cnfStyle w:val="000000100000" w:firstRow="0" w:lastRow="0" w:firstColumn="0" w:lastColumn="0" w:oddVBand="0" w:evenVBand="0" w:oddHBand="1" w:evenHBand="0" w:firstRowFirstColumn="0" w:firstRowLastColumn="0" w:lastRowFirstColumn="0" w:lastRowLastColumn="0"/>
              <w:rPr>
                <w:b/>
                <w:bCs/>
              </w:rPr>
            </w:pPr>
            <w:r w:rsidRPr="0084284E">
              <w:rPr>
                <w:b/>
                <w:bCs/>
              </w:rPr>
              <w:t xml:space="preserve">Product Description, including key attributes </w:t>
            </w:r>
          </w:p>
        </w:tc>
        <w:tc>
          <w:tcPr>
            <w:tcW w:w="10687" w:type="dxa"/>
            <w:gridSpan w:val="2"/>
          </w:tcPr>
          <w:p w14:paraId="034891F3" w14:textId="65AC6F97" w:rsidR="00986DB0" w:rsidRDefault="00986DB0" w:rsidP="0084284E">
            <w:pPr>
              <w:pStyle w:val="Tabletext"/>
              <w:jc w:val="both"/>
              <w:cnfStyle w:val="000000100000" w:firstRow="0" w:lastRow="0" w:firstColumn="0" w:lastColumn="0" w:oddVBand="0" w:evenVBand="0" w:oddHBand="1" w:evenHBand="0" w:firstRowFirstColumn="0" w:firstRowLastColumn="0" w:lastRowFirstColumn="0" w:lastRowLastColumn="0"/>
            </w:pPr>
            <w:r w:rsidRPr="00E909D8">
              <w:rPr>
                <w:i/>
                <w:iCs/>
                <w:u w:val="single"/>
              </w:rPr>
              <w:t>Objective</w:t>
            </w:r>
          </w:p>
          <w:p w14:paraId="2CC2EA72" w14:textId="0988C8BE" w:rsidR="00626A40" w:rsidRPr="00B452AB" w:rsidRDefault="00C4668D" w:rsidP="008A7B33">
            <w:pPr>
              <w:pStyle w:val="Tabletext"/>
              <w:spacing w:before="0"/>
              <w:jc w:val="both"/>
              <w:cnfStyle w:val="000000100000" w:firstRow="0" w:lastRow="0" w:firstColumn="0" w:lastColumn="0" w:oddVBand="0" w:evenVBand="0" w:oddHBand="1" w:evenHBand="0" w:firstRowFirstColumn="0" w:firstRowLastColumn="0" w:lastRowFirstColumn="0" w:lastRowLastColumn="0"/>
            </w:pPr>
            <w:r>
              <w:t xml:space="preserve">Loan to assist customers who are unable to </w:t>
            </w:r>
            <w:r w:rsidR="008A5C40">
              <w:t xml:space="preserve">the </w:t>
            </w:r>
            <w:r w:rsidR="007C608B" w:rsidRPr="00BA777C">
              <w:t xml:space="preserve">meet the </w:t>
            </w:r>
            <w:r w:rsidR="008A5C40" w:rsidRPr="00BA777C">
              <w:t>deposit</w:t>
            </w:r>
            <w:r w:rsidR="007C608B" w:rsidRPr="00BA777C">
              <w:t xml:space="preserve"> criteria for a</w:t>
            </w:r>
            <w:r w:rsidRPr="00BA777C">
              <w:t xml:space="preserve"> home</w:t>
            </w:r>
            <w:r>
              <w:t xml:space="preserve"> loan </w:t>
            </w:r>
            <w:r w:rsidR="007C608B">
              <w:t>with other lender</w:t>
            </w:r>
            <w:r w:rsidR="00CA34B9">
              <w:t>s</w:t>
            </w:r>
            <w:r w:rsidR="0062037A">
              <w:t xml:space="preserve"> and would like to achieve the goal of home ownership sooner. </w:t>
            </w:r>
          </w:p>
          <w:p w14:paraId="14AAE014" w14:textId="56377A16" w:rsidR="005B6B90" w:rsidRPr="00E909D8" w:rsidRDefault="005B6B90" w:rsidP="00626A40">
            <w:pPr>
              <w:pStyle w:val="Tabletext"/>
              <w:jc w:val="both"/>
              <w:cnfStyle w:val="000000100000" w:firstRow="0" w:lastRow="0" w:firstColumn="0" w:lastColumn="0" w:oddVBand="0" w:evenVBand="0" w:oddHBand="1" w:evenHBand="0" w:firstRowFirstColumn="0" w:firstRowLastColumn="0" w:lastRowFirstColumn="0" w:lastRowLastColumn="0"/>
              <w:rPr>
                <w:i/>
                <w:iCs/>
                <w:u w:val="single"/>
              </w:rPr>
            </w:pPr>
            <w:r w:rsidRPr="00E909D8">
              <w:rPr>
                <w:i/>
                <w:iCs/>
                <w:u w:val="single"/>
              </w:rPr>
              <w:t xml:space="preserve">Product </w:t>
            </w:r>
            <w:r w:rsidR="002A5532">
              <w:rPr>
                <w:i/>
                <w:iCs/>
                <w:u w:val="single"/>
              </w:rPr>
              <w:t>E</w:t>
            </w:r>
            <w:r w:rsidRPr="00E909D8">
              <w:rPr>
                <w:i/>
                <w:iCs/>
                <w:u w:val="single"/>
              </w:rPr>
              <w:t>ligibility</w:t>
            </w:r>
          </w:p>
          <w:p w14:paraId="14CFC186" w14:textId="407733A5" w:rsidR="00303DC6" w:rsidRDefault="005B6B90" w:rsidP="00626A40">
            <w:pPr>
              <w:pStyle w:val="Tabletext"/>
              <w:tabs>
                <w:tab w:val="left" w:pos="9660"/>
              </w:tabs>
              <w:jc w:val="both"/>
              <w:cnfStyle w:val="000000100000" w:firstRow="0" w:lastRow="0" w:firstColumn="0" w:lastColumn="0" w:oddVBand="0" w:evenVBand="0" w:oddHBand="1" w:evenHBand="0" w:firstRowFirstColumn="0" w:firstRowLastColumn="0" w:lastRowFirstColumn="0" w:lastRowLastColumn="0"/>
            </w:pPr>
            <w:r w:rsidRPr="000E24FB">
              <w:t xml:space="preserve">Only available to </w:t>
            </w:r>
            <w:r w:rsidR="003D6751">
              <w:t>customers</w:t>
            </w:r>
            <w:r w:rsidRPr="000E24FB">
              <w:t xml:space="preserve"> wanting to live </w:t>
            </w:r>
            <w:r>
              <w:t xml:space="preserve">in </w:t>
            </w:r>
            <w:r w:rsidRPr="000E24FB">
              <w:t>and own a home in Western Australia</w:t>
            </w:r>
            <w:r>
              <w:t>.</w:t>
            </w:r>
            <w:r w:rsidR="00E11989">
              <w:tab/>
            </w:r>
          </w:p>
          <w:p w14:paraId="052B8A1B" w14:textId="17C4E7F8" w:rsidR="0030207B" w:rsidRPr="0084284E" w:rsidRDefault="00DD3F34" w:rsidP="00626A40">
            <w:pPr>
              <w:pStyle w:val="Tabletext"/>
              <w:jc w:val="both"/>
              <w:cnfStyle w:val="000000100000" w:firstRow="0" w:lastRow="0" w:firstColumn="0" w:lastColumn="0" w:oddVBand="0" w:evenVBand="0" w:oddHBand="1" w:evenHBand="0" w:firstRowFirstColumn="0" w:firstRowLastColumn="0" w:lastRowFirstColumn="0" w:lastRowLastColumn="0"/>
              <w:rPr>
                <w:i/>
                <w:iCs/>
              </w:rPr>
            </w:pPr>
            <w:r>
              <w:t>For customers who only have</w:t>
            </w:r>
            <w:r w:rsidR="00432749">
              <w:t xml:space="preserve"> a </w:t>
            </w:r>
            <w:r w:rsidR="00432749" w:rsidRPr="00636091">
              <w:t>minimum</w:t>
            </w:r>
            <w:r w:rsidR="001F0C0A" w:rsidRPr="00636091">
              <w:t xml:space="preserve"> 2%</w:t>
            </w:r>
            <w:r w:rsidR="00636091">
              <w:t xml:space="preserve"> </w:t>
            </w:r>
            <w:r w:rsidR="00AA3A31">
              <w:t>of the purchase price</w:t>
            </w:r>
            <w:r w:rsidR="009830C0">
              <w:t xml:space="preserve"> </w:t>
            </w:r>
            <w:r w:rsidR="00DD581F">
              <w:t>available</w:t>
            </w:r>
            <w:r w:rsidR="00AA3A31">
              <w:t xml:space="preserve"> for the deposit </w:t>
            </w:r>
            <w:r w:rsidR="00DD581F">
              <w:t xml:space="preserve">for a home loan. </w:t>
            </w:r>
            <w:r w:rsidR="001F0C0A">
              <w:t xml:space="preserve"> </w:t>
            </w:r>
          </w:p>
          <w:p w14:paraId="0CC65051" w14:textId="7803E2DE" w:rsidR="0030207B" w:rsidRPr="00EE2A4D" w:rsidRDefault="00DD581F" w:rsidP="00626A40">
            <w:pPr>
              <w:pStyle w:val="Tabletext"/>
              <w:spacing w:before="0"/>
              <w:jc w:val="both"/>
              <w:cnfStyle w:val="000000100000" w:firstRow="0" w:lastRow="0" w:firstColumn="0" w:lastColumn="0" w:oddVBand="0" w:evenVBand="0" w:oddHBand="1" w:evenHBand="0" w:firstRowFirstColumn="0" w:firstRowLastColumn="0" w:lastRowFirstColumn="0" w:lastRowLastColumn="0"/>
              <w:rPr>
                <w:i/>
                <w:iCs/>
              </w:rPr>
            </w:pPr>
            <w:r w:rsidRPr="00EE2A4D">
              <w:lastRenderedPageBreak/>
              <w:t xml:space="preserve">The </w:t>
            </w:r>
            <w:r w:rsidR="00082F0A" w:rsidRPr="00EE2A4D">
              <w:t>p</w:t>
            </w:r>
            <w:r w:rsidR="0030207B" w:rsidRPr="00EE2A4D">
              <w:t>roperty purchase price limit</w:t>
            </w:r>
            <w:r w:rsidR="00371FC6" w:rsidRPr="00EE2A4D">
              <w:t xml:space="preserve"> in </w:t>
            </w:r>
            <w:r w:rsidR="002A65A7">
              <w:t>either the</w:t>
            </w:r>
            <w:r w:rsidR="002A65A7" w:rsidRPr="00EE2A4D">
              <w:t xml:space="preserve"> </w:t>
            </w:r>
            <w:r w:rsidR="00371FC6" w:rsidRPr="00EE2A4D">
              <w:t xml:space="preserve">Perth Metro </w:t>
            </w:r>
            <w:r w:rsidR="002A65A7">
              <w:t xml:space="preserve">or Kimberley or </w:t>
            </w:r>
            <w:r w:rsidR="00812B10">
              <w:t xml:space="preserve">Pilbara </w:t>
            </w:r>
            <w:r w:rsidR="00371FC6" w:rsidRPr="00EE2A4D">
              <w:t>Region,</w:t>
            </w:r>
            <w:r w:rsidR="0030207B" w:rsidRPr="00EE2A4D">
              <w:t xml:space="preserve"> </w:t>
            </w:r>
            <w:r w:rsidR="00082F0A" w:rsidRPr="00EE2A4D">
              <w:t xml:space="preserve">is </w:t>
            </w:r>
            <w:r w:rsidR="0030207B" w:rsidRPr="00EE2A4D">
              <w:t>set at the median house price for</w:t>
            </w:r>
            <w:r w:rsidR="00812B10">
              <w:t xml:space="preserve"> that region</w:t>
            </w:r>
            <w:r w:rsidR="0030207B" w:rsidRPr="00EE2A4D">
              <w:t>, based on Real Estate Institute of Western Australia’s (REIWA) annualised house price data.</w:t>
            </w:r>
            <w:r w:rsidR="00A820AB" w:rsidRPr="00EE2A4D">
              <w:t xml:space="preserve"> </w:t>
            </w:r>
          </w:p>
          <w:p w14:paraId="5EDA1FC9" w14:textId="0D5A0135" w:rsidR="00DE5A0A" w:rsidRDefault="00DE5A0A" w:rsidP="00626A40">
            <w:pPr>
              <w:pStyle w:val="Tabletext"/>
              <w:spacing w:after="0"/>
              <w:jc w:val="both"/>
              <w:cnfStyle w:val="000000100000" w:firstRow="0" w:lastRow="0" w:firstColumn="0" w:lastColumn="0" w:oddVBand="0" w:evenVBand="0" w:oddHBand="1" w:evenHBand="0" w:firstRowFirstColumn="0" w:firstRowLastColumn="0" w:lastRowFirstColumn="0" w:lastRowLastColumn="0"/>
            </w:pPr>
            <w:r w:rsidRPr="00EE2A4D">
              <w:t xml:space="preserve">The income </w:t>
            </w:r>
            <w:r w:rsidR="00940465" w:rsidRPr="00EE2A4D">
              <w:t xml:space="preserve">requirement </w:t>
            </w:r>
            <w:r w:rsidRPr="00EE2A4D">
              <w:t>limit</w:t>
            </w:r>
            <w:r w:rsidR="00940465" w:rsidRPr="00EE2A4D">
              <w:t xml:space="preserve"> in the Perth Metro </w:t>
            </w:r>
            <w:r w:rsidR="00812B10">
              <w:t xml:space="preserve">or Kimberley or Pilbara </w:t>
            </w:r>
            <w:r w:rsidR="00940465" w:rsidRPr="00EE2A4D">
              <w:t>Region,</w:t>
            </w:r>
            <w:r w:rsidRPr="00EE2A4D">
              <w:t xml:space="preserve"> </w:t>
            </w:r>
            <w:r w:rsidR="00082F0A" w:rsidRPr="00EE2A4D">
              <w:t>is</w:t>
            </w:r>
            <w:r w:rsidRPr="00EE2A4D">
              <w:t xml:space="preserve"> based on the income required for either a single person or a couple/family to service a low deposit loan on a property valued at </w:t>
            </w:r>
            <w:r w:rsidR="00AE7B23">
              <w:t>that region’s</w:t>
            </w:r>
            <w:r w:rsidRPr="00EE2A4D">
              <w:t xml:space="preserve"> </w:t>
            </w:r>
            <w:r w:rsidR="00D94629" w:rsidRPr="00EE2A4D">
              <w:t>median</w:t>
            </w:r>
            <w:r w:rsidRPr="00EE2A4D">
              <w:t xml:space="preserve"> house price.</w:t>
            </w:r>
          </w:p>
          <w:p w14:paraId="5A7C2E13" w14:textId="1D85E674" w:rsidR="002A5532" w:rsidRDefault="002A5532" w:rsidP="00626A40">
            <w:pPr>
              <w:pStyle w:val="Tabletext"/>
              <w:jc w:val="both"/>
              <w:cnfStyle w:val="000000100000" w:firstRow="0" w:lastRow="0" w:firstColumn="0" w:lastColumn="0" w:oddVBand="0" w:evenVBand="0" w:oddHBand="1" w:evenHBand="0" w:firstRowFirstColumn="0" w:firstRowLastColumn="0" w:lastRowFirstColumn="0" w:lastRowLastColumn="0"/>
            </w:pPr>
            <w:r w:rsidRPr="00374D8C">
              <w:rPr>
                <w:i/>
                <w:iCs/>
                <w:u w:val="single"/>
              </w:rPr>
              <w:t xml:space="preserve">Additional </w:t>
            </w:r>
            <w:r w:rsidR="00374D8C">
              <w:rPr>
                <w:i/>
                <w:iCs/>
                <w:u w:val="single"/>
              </w:rPr>
              <w:t>Loan Type</w:t>
            </w:r>
            <w:r w:rsidRPr="00D63BD2">
              <w:rPr>
                <w:i/>
                <w:iCs/>
                <w:u w:val="single"/>
              </w:rPr>
              <w:t xml:space="preserve"> Eligibility</w:t>
            </w:r>
            <w:r>
              <w:rPr>
                <w:i/>
                <w:iCs/>
                <w:u w:val="single"/>
              </w:rPr>
              <w:t xml:space="preserve"> </w:t>
            </w:r>
          </w:p>
          <w:p w14:paraId="6E65FAF3" w14:textId="191E99F4" w:rsidR="00C73C86" w:rsidRDefault="0030207B" w:rsidP="00626A40">
            <w:pPr>
              <w:pStyle w:val="Tabletext"/>
              <w:jc w:val="both"/>
              <w:cnfStyle w:val="000000100000" w:firstRow="0" w:lastRow="0" w:firstColumn="0" w:lastColumn="0" w:oddVBand="0" w:evenVBand="0" w:oddHBand="1" w:evenHBand="0" w:firstRowFirstColumn="0" w:firstRowLastColumn="0" w:lastRowFirstColumn="0" w:lastRowLastColumn="0"/>
            </w:pPr>
            <w:r>
              <w:t xml:space="preserve">Aboriginal Home Ownership Scheme full ownership home loan is only available to </w:t>
            </w:r>
            <w:r w:rsidR="347BAD18">
              <w:t xml:space="preserve">people of </w:t>
            </w:r>
            <w:r>
              <w:t xml:space="preserve">Aboriginal and Torres Strait Islander </w:t>
            </w:r>
            <w:r w:rsidR="3A6A913C">
              <w:t>descent</w:t>
            </w:r>
            <w:r>
              <w:t xml:space="preserve">. </w:t>
            </w:r>
          </w:p>
          <w:p w14:paraId="26D37DE7" w14:textId="4D60AF87" w:rsidR="00C73C86" w:rsidRPr="007E140A" w:rsidRDefault="004D647B" w:rsidP="00626A40">
            <w:pPr>
              <w:pStyle w:val="Tabletext"/>
              <w:jc w:val="both"/>
              <w:cnfStyle w:val="000000100000" w:firstRow="0" w:lastRow="0" w:firstColumn="0" w:lastColumn="0" w:oddVBand="0" w:evenVBand="0" w:oddHBand="1" w:evenHBand="0" w:firstRowFirstColumn="0" w:firstRowLastColumn="0" w:lastRowFirstColumn="0" w:lastRowLastColumn="0"/>
              <w:rPr>
                <w:i/>
                <w:iCs/>
              </w:rPr>
            </w:pPr>
            <w:r>
              <w:t>M</w:t>
            </w:r>
            <w:r w:rsidR="00A00B27">
              <w:t xml:space="preserve">odular </w:t>
            </w:r>
            <w:r>
              <w:t>H</w:t>
            </w:r>
            <w:r w:rsidR="00A00B27">
              <w:t>ome</w:t>
            </w:r>
            <w:r w:rsidR="00B62E92">
              <w:t xml:space="preserve"> Loan</w:t>
            </w:r>
            <w:r w:rsidR="003613C8">
              <w:t>s</w:t>
            </w:r>
            <w:r w:rsidR="006E0B31">
              <w:t xml:space="preserve"> are only available </w:t>
            </w:r>
            <w:r w:rsidR="0055460A">
              <w:t xml:space="preserve">for </w:t>
            </w:r>
            <w:r w:rsidR="001B00C9">
              <w:t>customers w</w:t>
            </w:r>
            <w:r w:rsidR="0055460A">
              <w:t xml:space="preserve">ho </w:t>
            </w:r>
            <w:r w:rsidR="001B00C9">
              <w:t>are building a home</w:t>
            </w:r>
            <w:r w:rsidR="00944590">
              <w:t>, using a modular construction method</w:t>
            </w:r>
            <w:r w:rsidR="00D03C59">
              <w:t xml:space="preserve"> with a</w:t>
            </w:r>
            <w:r w:rsidR="003613C8">
              <w:t xml:space="preserve"> build</w:t>
            </w:r>
            <w:r w:rsidR="00342569">
              <w:t>er</w:t>
            </w:r>
            <w:r w:rsidR="003613C8">
              <w:t xml:space="preserve"> o</w:t>
            </w:r>
            <w:r w:rsidR="00D03C59">
              <w:t>n</w:t>
            </w:r>
            <w:r w:rsidR="000325AE">
              <w:t xml:space="preserve"> our E</w:t>
            </w:r>
            <w:r w:rsidR="00957020">
              <w:t xml:space="preserve">stablished </w:t>
            </w:r>
            <w:r w:rsidR="000325AE">
              <w:t>B</w:t>
            </w:r>
            <w:r w:rsidR="00957020">
              <w:t xml:space="preserve">uilders </w:t>
            </w:r>
            <w:r w:rsidR="000325AE">
              <w:t>L</w:t>
            </w:r>
            <w:r w:rsidR="00957020">
              <w:t>ist</w:t>
            </w:r>
            <w:r w:rsidR="00944590">
              <w:t>,</w:t>
            </w:r>
            <w:r w:rsidR="00631619">
              <w:t xml:space="preserve"> </w:t>
            </w:r>
            <w:r w:rsidR="001B00C9">
              <w:t xml:space="preserve">on </w:t>
            </w:r>
            <w:r w:rsidR="00D23C07">
              <w:t>land that</w:t>
            </w:r>
            <w:r w:rsidR="00D56D76">
              <w:t xml:space="preserve"> they own</w:t>
            </w:r>
            <w:r w:rsidR="00631619">
              <w:t>/will own</w:t>
            </w:r>
            <w:r w:rsidR="00D03C59">
              <w:t>.</w:t>
            </w:r>
            <w:r w:rsidR="00D56D76">
              <w:t xml:space="preserve"> </w:t>
            </w:r>
          </w:p>
          <w:p w14:paraId="1F43EE24" w14:textId="77777777" w:rsidR="00FF5128" w:rsidRPr="00E909D8" w:rsidRDefault="00FF5128" w:rsidP="00626A40">
            <w:pPr>
              <w:pStyle w:val="Tabletext"/>
              <w:jc w:val="both"/>
              <w:cnfStyle w:val="000000100000" w:firstRow="0" w:lastRow="0" w:firstColumn="0" w:lastColumn="0" w:oddVBand="0" w:evenVBand="0" w:oddHBand="1" w:evenHBand="0" w:firstRowFirstColumn="0" w:firstRowLastColumn="0" w:lastRowFirstColumn="0" w:lastRowLastColumn="0"/>
              <w:rPr>
                <w:i/>
                <w:iCs/>
                <w:u w:val="single"/>
              </w:rPr>
            </w:pPr>
            <w:r w:rsidRPr="00E909D8">
              <w:rPr>
                <w:i/>
                <w:iCs/>
                <w:u w:val="single"/>
              </w:rPr>
              <w:t>Loan Attributes</w:t>
            </w:r>
          </w:p>
          <w:p w14:paraId="7410D15F" w14:textId="553495DF" w:rsidR="003F6E7F" w:rsidRPr="000E24FB" w:rsidRDefault="003F6E7F" w:rsidP="00626A40">
            <w:pPr>
              <w:pStyle w:val="Tabletext"/>
              <w:jc w:val="both"/>
              <w:cnfStyle w:val="000000100000" w:firstRow="0" w:lastRow="0" w:firstColumn="0" w:lastColumn="0" w:oddVBand="0" w:evenVBand="0" w:oddHBand="1" w:evenHBand="0" w:firstRowFirstColumn="0" w:firstRowLastColumn="0" w:lastRowFirstColumn="0" w:lastRowLastColumn="0"/>
            </w:pPr>
            <w:r w:rsidRPr="000E24FB">
              <w:t>Low entry costs</w:t>
            </w:r>
            <w:r w:rsidR="0045374B">
              <w:t>:</w:t>
            </w:r>
            <w:r w:rsidRPr="000E24FB">
              <w:t xml:space="preserve"> low deposit and no lender</w:t>
            </w:r>
            <w:r>
              <w:t>’</w:t>
            </w:r>
            <w:r w:rsidRPr="000E24FB">
              <w:t>s mortgage insurance</w:t>
            </w:r>
            <w:r>
              <w:t>.</w:t>
            </w:r>
          </w:p>
          <w:p w14:paraId="443D2FC9" w14:textId="3C4CB7E6" w:rsidR="003F6E7F" w:rsidRPr="000E24FB" w:rsidRDefault="003F6E7F" w:rsidP="00626A40">
            <w:pPr>
              <w:pStyle w:val="Tabletext"/>
              <w:jc w:val="both"/>
              <w:cnfStyle w:val="000000100000" w:firstRow="0" w:lastRow="0" w:firstColumn="0" w:lastColumn="0" w:oddVBand="0" w:evenVBand="0" w:oddHBand="1" w:evenHBand="0" w:firstRowFirstColumn="0" w:firstRowLastColumn="0" w:lastRowFirstColumn="0" w:lastRowLastColumn="0"/>
            </w:pPr>
            <w:r w:rsidRPr="000E24FB">
              <w:t>No monthly account keeping fees</w:t>
            </w:r>
            <w:r>
              <w:t>.</w:t>
            </w:r>
          </w:p>
          <w:p w14:paraId="7A5EF8AC" w14:textId="6637C845" w:rsidR="003F6E7F" w:rsidRPr="000E24FB" w:rsidRDefault="003F6E7F" w:rsidP="00626A40">
            <w:pPr>
              <w:pStyle w:val="Tabletext"/>
              <w:jc w:val="both"/>
              <w:cnfStyle w:val="000000100000" w:firstRow="0" w:lastRow="0" w:firstColumn="0" w:lastColumn="0" w:oddVBand="0" w:evenVBand="0" w:oddHBand="1" w:evenHBand="0" w:firstRowFirstColumn="0" w:firstRowLastColumn="0" w:lastRowFirstColumn="0" w:lastRowLastColumn="0"/>
            </w:pPr>
            <w:r>
              <w:t>Weekly, fortnightly and monthly p</w:t>
            </w:r>
            <w:r w:rsidRPr="000E24FB">
              <w:t>ayment frequency options available</w:t>
            </w:r>
            <w:r>
              <w:t>.</w:t>
            </w:r>
          </w:p>
          <w:p w14:paraId="784B9909" w14:textId="77777777" w:rsidR="00A103CF" w:rsidRDefault="00A103CF" w:rsidP="00626A40">
            <w:pPr>
              <w:pStyle w:val="Tabletext"/>
              <w:jc w:val="both"/>
              <w:cnfStyle w:val="000000100000" w:firstRow="0" w:lastRow="0" w:firstColumn="0" w:lastColumn="0" w:oddVBand="0" w:evenVBand="0" w:oddHBand="1" w:evenHBand="0" w:firstRowFirstColumn="0" w:firstRowLastColumn="0" w:lastRowFirstColumn="0" w:lastRowLastColumn="0"/>
            </w:pPr>
            <w:r>
              <w:t>Standard variable interest rate based on the Reserve Bank of Australia’s (RBA) cash rate plus a margin. This margin is subject to change.  As a variable rate, the rate can go up or down over time in line with any movement to the RBA cash rate and any changes to the margin. Given the low deposit nature of its home loan lending, Keystart’s interest rates policy enables it to manage lending risk responsibly.</w:t>
            </w:r>
          </w:p>
          <w:p w14:paraId="24AD9561" w14:textId="77777777" w:rsidR="00A103CF" w:rsidRDefault="00A103CF" w:rsidP="00626A40">
            <w:pPr>
              <w:pStyle w:val="Tabletext"/>
              <w:jc w:val="both"/>
              <w:cnfStyle w:val="000000100000" w:firstRow="0" w:lastRow="0" w:firstColumn="0" w:lastColumn="0" w:oddVBand="0" w:evenVBand="0" w:oddHBand="1" w:evenHBand="0" w:firstRowFirstColumn="0" w:firstRowLastColumn="0" w:lastRowFirstColumn="0" w:lastRowLastColumn="0"/>
            </w:pPr>
            <w:r w:rsidRPr="000E24FB">
              <w:t>Redraw facilit</w:t>
            </w:r>
            <w:r>
              <w:t>y</w:t>
            </w:r>
            <w:r w:rsidRPr="000E24FB">
              <w:t xml:space="preserve"> availabl</w:t>
            </w:r>
            <w:r>
              <w:t>e</w:t>
            </w:r>
            <w:r w:rsidRPr="000E24FB">
              <w:t xml:space="preserve"> (subject to terms and conditions)</w:t>
            </w:r>
            <w:r>
              <w:t>.</w:t>
            </w:r>
          </w:p>
          <w:p w14:paraId="324860F0" w14:textId="77777777" w:rsidR="00A103CF" w:rsidRDefault="00A103CF" w:rsidP="00626A40">
            <w:pPr>
              <w:tabs>
                <w:tab w:val="num" w:pos="428"/>
              </w:tabs>
              <w:adjustRightInd w:val="0"/>
              <w:snapToGrid w:val="0"/>
              <w:spacing w:before="120" w:after="120"/>
              <w:jc w:val="both"/>
              <w:cnfStyle w:val="000000100000" w:firstRow="0" w:lastRow="0" w:firstColumn="0" w:lastColumn="0" w:oddVBand="0" w:evenVBand="0" w:oddHBand="1" w:evenHBand="0" w:firstRowFirstColumn="0" w:firstRowLastColumn="0" w:lastRowFirstColumn="0" w:lastRowLastColumn="0"/>
            </w:pPr>
            <w:r>
              <w:t xml:space="preserve">Ability to make additional repayments at no extra cost. </w:t>
            </w:r>
          </w:p>
          <w:p w14:paraId="7FF2F7C5" w14:textId="61E69B99" w:rsidR="003F6E7F" w:rsidRPr="000E24FB" w:rsidRDefault="00A103CF" w:rsidP="00626A40">
            <w:pPr>
              <w:pStyle w:val="Tabletext"/>
              <w:jc w:val="both"/>
              <w:cnfStyle w:val="000000100000" w:firstRow="0" w:lastRow="0" w:firstColumn="0" w:lastColumn="0" w:oddVBand="0" w:evenVBand="0" w:oddHBand="1" w:evenHBand="0" w:firstRowFirstColumn="0" w:firstRowLastColumn="0" w:lastRowFirstColumn="0" w:lastRowLastColumn="0"/>
            </w:pPr>
            <w:r w:rsidRPr="000E24FB">
              <w:t>Up to maximum 30-year term</w:t>
            </w:r>
            <w:r>
              <w:t>.</w:t>
            </w:r>
          </w:p>
        </w:tc>
      </w:tr>
      <w:tr w:rsidR="003F6E7F" w:rsidRPr="000E24FB" w14:paraId="1DE0C68D" w14:textId="63083CAD" w:rsidTr="0084284E">
        <w:trPr>
          <w:trHeight w:val="504"/>
        </w:trPr>
        <w:tc>
          <w:tcPr>
            <w:cnfStyle w:val="001000000000" w:firstRow="0" w:lastRow="0" w:firstColumn="1" w:lastColumn="0" w:oddVBand="0" w:evenVBand="0" w:oddHBand="0" w:evenHBand="0" w:firstRowFirstColumn="0" w:firstRowLastColumn="0" w:lastRowFirstColumn="0" w:lastRowLastColumn="0"/>
            <w:tcW w:w="449" w:type="dxa"/>
          </w:tcPr>
          <w:p w14:paraId="596D253A" w14:textId="439851B7" w:rsidR="003F6E7F" w:rsidRPr="00011500" w:rsidRDefault="003F6E7F" w:rsidP="00011500">
            <w:pPr>
              <w:pStyle w:val="Tabletext"/>
            </w:pPr>
            <w:r>
              <w:lastRenderedPageBreak/>
              <w:t>5</w:t>
            </w:r>
          </w:p>
        </w:tc>
        <w:tc>
          <w:tcPr>
            <w:tcW w:w="2614" w:type="dxa"/>
          </w:tcPr>
          <w:p w14:paraId="4B3A0C3E" w14:textId="378754FD" w:rsidR="003F6E7F" w:rsidRPr="00D63BD2" w:rsidRDefault="003F6E7F" w:rsidP="0009506C">
            <w:pPr>
              <w:pStyle w:val="Tabletext"/>
              <w:cnfStyle w:val="000000000000" w:firstRow="0" w:lastRow="0" w:firstColumn="0" w:lastColumn="0" w:oddVBand="0" w:evenVBand="0" w:oddHBand="0" w:evenHBand="0" w:firstRowFirstColumn="0" w:firstRowLastColumn="0" w:lastRowFirstColumn="0" w:lastRowLastColumn="0"/>
              <w:rPr>
                <w:b/>
                <w:bCs/>
              </w:rPr>
            </w:pPr>
            <w:r w:rsidRPr="00D63BD2">
              <w:rPr>
                <w:b/>
                <w:bCs/>
              </w:rPr>
              <w:t>Description of the retail class that comprises the target market</w:t>
            </w:r>
          </w:p>
        </w:tc>
        <w:tc>
          <w:tcPr>
            <w:tcW w:w="10687" w:type="dxa"/>
            <w:gridSpan w:val="2"/>
          </w:tcPr>
          <w:p w14:paraId="0CF48F20" w14:textId="2AEF97FB" w:rsidR="003F6E7F" w:rsidRPr="000E24FB" w:rsidRDefault="003F6E7F" w:rsidP="00011500">
            <w:pPr>
              <w:pStyle w:val="Tabletext"/>
              <w:cnfStyle w:val="000000000000" w:firstRow="0" w:lastRow="0" w:firstColumn="0" w:lastColumn="0" w:oddVBand="0" w:evenVBand="0" w:oddHBand="0" w:evenHBand="0" w:firstRowFirstColumn="0" w:firstRowLastColumn="0" w:lastRowFirstColumn="0" w:lastRowLastColumn="0"/>
            </w:pPr>
            <w:r>
              <w:t xml:space="preserve">The product has been assessed as meeting the likely objectives, financial situation and needs of </w:t>
            </w:r>
            <w:r w:rsidR="008345D4">
              <w:t xml:space="preserve">customers </w:t>
            </w:r>
            <w:r>
              <w:t>who:</w:t>
            </w:r>
          </w:p>
          <w:p w14:paraId="451660C6" w14:textId="73B81AB6" w:rsidR="002A177A" w:rsidRDefault="003F6E7F" w:rsidP="00B41C25">
            <w:pPr>
              <w:pStyle w:val="ListParagraph"/>
              <w:cnfStyle w:val="000000000000" w:firstRow="0" w:lastRow="0" w:firstColumn="0" w:lastColumn="0" w:oddVBand="0" w:evenVBand="0" w:oddHBand="0" w:evenHBand="0" w:firstRowFirstColumn="0" w:firstRowLastColumn="0" w:lastRowFirstColumn="0" w:lastRowLastColumn="0"/>
            </w:pPr>
            <w:r>
              <w:t>satisfy our eligibility criteria</w:t>
            </w:r>
            <w:r w:rsidR="00CA1CE1">
              <w:t>.</w:t>
            </w:r>
          </w:p>
          <w:p w14:paraId="1D2387FB" w14:textId="02E18BFA" w:rsidR="003F6E7F" w:rsidRPr="000E24FB" w:rsidRDefault="003F6E7F" w:rsidP="00B41C25">
            <w:pPr>
              <w:pStyle w:val="ListParagraph"/>
              <w:cnfStyle w:val="000000000000" w:firstRow="0" w:lastRow="0" w:firstColumn="0" w:lastColumn="0" w:oddVBand="0" w:evenVBand="0" w:oddHBand="0" w:evenHBand="0" w:firstRowFirstColumn="0" w:firstRowLastColumn="0" w:lastRowFirstColumn="0" w:lastRowLastColumn="0"/>
            </w:pPr>
            <w:r>
              <w:t xml:space="preserve">don’t </w:t>
            </w:r>
            <w:r w:rsidRPr="000E24FB">
              <w:t>have the deposit require</w:t>
            </w:r>
            <w:r>
              <w:t>d</w:t>
            </w:r>
            <w:r w:rsidRPr="000E24FB">
              <w:t xml:space="preserve"> </w:t>
            </w:r>
            <w:r>
              <w:t xml:space="preserve">by other </w:t>
            </w:r>
            <w:r w:rsidRPr="000E24FB">
              <w:t>lenders</w:t>
            </w:r>
            <w:r w:rsidR="00CA1CE1">
              <w:t>.</w:t>
            </w:r>
          </w:p>
          <w:p w14:paraId="77247B5A" w14:textId="4EEAD8A4" w:rsidR="003F6E7F" w:rsidRPr="000E24FB" w:rsidRDefault="003F6E7F" w:rsidP="00B41C25">
            <w:pPr>
              <w:pStyle w:val="ListParagraph"/>
              <w:cnfStyle w:val="000000000000" w:firstRow="0" w:lastRow="0" w:firstColumn="0" w:lastColumn="0" w:oddVBand="0" w:evenVBand="0" w:oddHBand="0" w:evenHBand="0" w:firstRowFirstColumn="0" w:firstRowLastColumn="0" w:lastRowFirstColumn="0" w:lastRowLastColumn="0"/>
            </w:pPr>
            <w:r>
              <w:t xml:space="preserve">don’t </w:t>
            </w:r>
            <w:r w:rsidRPr="000E24FB">
              <w:t>want to pay lenders mortgage insurance</w:t>
            </w:r>
            <w:r w:rsidR="00CA1CE1">
              <w:t>.</w:t>
            </w:r>
          </w:p>
          <w:p w14:paraId="4D9D1D5C" w14:textId="788765A5" w:rsidR="003F6E7F" w:rsidRPr="000E24FB" w:rsidRDefault="003F6E7F" w:rsidP="00104D5D">
            <w:pPr>
              <w:pStyle w:val="ListParagraph"/>
              <w:cnfStyle w:val="000000000000" w:firstRow="0" w:lastRow="0" w:firstColumn="0" w:lastColumn="0" w:oddVBand="0" w:evenVBand="0" w:oddHBand="0" w:evenHBand="0" w:firstRowFirstColumn="0" w:firstRowLastColumn="0" w:lastRowFirstColumn="0" w:lastRowLastColumn="0"/>
            </w:pPr>
            <w:r>
              <w:t>w</w:t>
            </w:r>
            <w:r w:rsidRPr="000E24FB">
              <w:t xml:space="preserve">ant to </w:t>
            </w:r>
            <w:r>
              <w:t>purchase</w:t>
            </w:r>
            <w:r w:rsidRPr="000E24FB">
              <w:t xml:space="preserve"> a</w:t>
            </w:r>
            <w:r>
              <w:t>n owner</w:t>
            </w:r>
            <w:r w:rsidR="007C440C">
              <w:t>-</w:t>
            </w:r>
            <w:r>
              <w:t>occupied</w:t>
            </w:r>
            <w:r w:rsidRPr="000E24FB">
              <w:t xml:space="preserve"> home in W</w:t>
            </w:r>
            <w:r>
              <w:t xml:space="preserve">estern </w:t>
            </w:r>
            <w:r w:rsidRPr="000E24FB">
              <w:t>A</w:t>
            </w:r>
            <w:r>
              <w:t>ustralia that is available as security</w:t>
            </w:r>
            <w:r w:rsidR="00CA1CE1">
              <w:t>.</w:t>
            </w:r>
          </w:p>
          <w:p w14:paraId="115F922E" w14:textId="23A2611A" w:rsidR="00461F22" w:rsidRDefault="00FC61BD" w:rsidP="00461F22">
            <w:pPr>
              <w:pStyle w:val="ListParagraph"/>
              <w:cnfStyle w:val="000000000000" w:firstRow="0" w:lastRow="0" w:firstColumn="0" w:lastColumn="0" w:oddVBand="0" w:evenVBand="0" w:oddHBand="0" w:evenHBand="0" w:firstRowFirstColumn="0" w:firstRowLastColumn="0" w:lastRowFirstColumn="0" w:lastRowLastColumn="0"/>
            </w:pPr>
            <w:r>
              <w:lastRenderedPageBreak/>
              <w:t>want to purchase land</w:t>
            </w:r>
            <w:r w:rsidR="00BB3D03">
              <w:t xml:space="preserve"> in Western Australia and</w:t>
            </w:r>
            <w:r w:rsidR="00461F22">
              <w:t xml:space="preserve"> build a home that satisfies our minimum building requirements</w:t>
            </w:r>
            <w:r w:rsidR="00DF15D9">
              <w:t>.</w:t>
            </w:r>
            <w:r w:rsidR="00BB3D03">
              <w:t xml:space="preserve"> </w:t>
            </w:r>
          </w:p>
          <w:p w14:paraId="258363BA" w14:textId="10726B29" w:rsidR="008818BF" w:rsidRDefault="008818BF" w:rsidP="00461F22">
            <w:pPr>
              <w:pStyle w:val="ListParagraph"/>
              <w:cnfStyle w:val="000000000000" w:firstRow="0" w:lastRow="0" w:firstColumn="0" w:lastColumn="0" w:oddVBand="0" w:evenVBand="0" w:oddHBand="0" w:evenHBand="0" w:firstRowFirstColumn="0" w:firstRowLastColumn="0" w:lastRowFirstColumn="0" w:lastRowLastColumn="0"/>
            </w:pPr>
            <w:r>
              <w:t xml:space="preserve">own land in </w:t>
            </w:r>
            <w:r w:rsidR="00334EE1">
              <w:t>Western Australia</w:t>
            </w:r>
            <w:r>
              <w:t xml:space="preserve"> and want to build a home that satisfies our minimum building requirements</w:t>
            </w:r>
            <w:r w:rsidR="00DF15D9">
              <w:t>.</w:t>
            </w:r>
          </w:p>
          <w:p w14:paraId="1DDE04A6" w14:textId="5E282C48" w:rsidR="003F6E7F" w:rsidRPr="00FC4468" w:rsidRDefault="003F6E7F" w:rsidP="00104D5D">
            <w:pPr>
              <w:pStyle w:val="ListParagraph"/>
              <w:cnfStyle w:val="000000000000" w:firstRow="0" w:lastRow="0" w:firstColumn="0" w:lastColumn="0" w:oddVBand="0" w:evenVBand="0" w:oddHBand="0" w:evenHBand="0" w:firstRowFirstColumn="0" w:firstRowLastColumn="0" w:lastRowFirstColumn="0" w:lastRowLastColumn="0"/>
            </w:pPr>
            <w:r w:rsidRPr="00FC4468">
              <w:t>require flexibility including:</w:t>
            </w:r>
          </w:p>
          <w:p w14:paraId="3C10C19A" w14:textId="67531B8D" w:rsidR="003F6E7F" w:rsidRPr="00FC4468" w:rsidRDefault="003F6E7F" w:rsidP="00BF3CD4">
            <w:pPr>
              <w:pStyle w:val="ListParagraph"/>
              <w:numPr>
                <w:ilvl w:val="1"/>
                <w:numId w:val="23"/>
              </w:numPr>
              <w:cnfStyle w:val="000000000000" w:firstRow="0" w:lastRow="0" w:firstColumn="0" w:lastColumn="0" w:oddVBand="0" w:evenVBand="0" w:oddHBand="0" w:evenHBand="0" w:firstRowFirstColumn="0" w:firstRowLastColumn="0" w:lastRowFirstColumn="0" w:lastRowLastColumn="0"/>
            </w:pPr>
            <w:r w:rsidRPr="00FC4468">
              <w:t>ability to pay off the loan as quickly as possible and increase equity in the home by making additional payments at no extra cost</w:t>
            </w:r>
            <w:r w:rsidR="00CA1CE1" w:rsidRPr="00FC4468">
              <w:t>.</w:t>
            </w:r>
          </w:p>
          <w:p w14:paraId="6535FE06" w14:textId="7A54DFA3" w:rsidR="003F6E7F" w:rsidRDefault="003F6E7F" w:rsidP="00C27145">
            <w:pPr>
              <w:pStyle w:val="ListParagraph"/>
              <w:numPr>
                <w:ilvl w:val="1"/>
                <w:numId w:val="23"/>
              </w:numPr>
              <w:cnfStyle w:val="000000000000" w:firstRow="0" w:lastRow="0" w:firstColumn="0" w:lastColumn="0" w:oddVBand="0" w:evenVBand="0" w:oddHBand="0" w:evenHBand="0" w:firstRowFirstColumn="0" w:firstRowLastColumn="0" w:lastRowFirstColumn="0" w:lastRowLastColumn="0"/>
            </w:pPr>
            <w:r>
              <w:t>access additional payments through a redraw for fully funded loans</w:t>
            </w:r>
            <w:r w:rsidR="00CA1CE1">
              <w:t>.</w:t>
            </w:r>
          </w:p>
          <w:p w14:paraId="5128CBF6" w14:textId="6C0CD94C" w:rsidR="003F6E7F" w:rsidRDefault="003F6E7F" w:rsidP="00C27145">
            <w:pPr>
              <w:pStyle w:val="ListParagraph"/>
              <w:numPr>
                <w:ilvl w:val="1"/>
                <w:numId w:val="23"/>
              </w:numPr>
              <w:cnfStyle w:val="000000000000" w:firstRow="0" w:lastRow="0" w:firstColumn="0" w:lastColumn="0" w:oddVBand="0" w:evenVBand="0" w:oddHBand="0" w:evenHBand="0" w:firstRowFirstColumn="0" w:firstRowLastColumn="0" w:lastRowFirstColumn="0" w:lastRowLastColumn="0"/>
            </w:pPr>
            <w:proofErr w:type="gramStart"/>
            <w:r>
              <w:t>have the ability to</w:t>
            </w:r>
            <w:proofErr w:type="gramEnd"/>
            <w:r>
              <w:t xml:space="preserve"> progressively drawdown loan to fund home construction and minimise repayments during the construction</w:t>
            </w:r>
            <w:r w:rsidR="00CA1CE1">
              <w:t>.</w:t>
            </w:r>
          </w:p>
          <w:p w14:paraId="62359497" w14:textId="5FD69702" w:rsidR="003F6E7F" w:rsidRDefault="003F6E7F" w:rsidP="0020773C">
            <w:pPr>
              <w:pStyle w:val="ListParagraph"/>
              <w:numPr>
                <w:ilvl w:val="1"/>
                <w:numId w:val="23"/>
              </w:numPr>
              <w:cnfStyle w:val="000000000000" w:firstRow="0" w:lastRow="0" w:firstColumn="0" w:lastColumn="0" w:oddVBand="0" w:evenVBand="0" w:oddHBand="0" w:evenHBand="0" w:firstRowFirstColumn="0" w:firstRowLastColumn="0" w:lastRowFirstColumn="0" w:lastRowLastColumn="0"/>
            </w:pPr>
            <w:r>
              <w:t>interest being variable</w:t>
            </w:r>
            <w:r w:rsidR="00CA1CE1">
              <w:t>,</w:t>
            </w:r>
            <w:r>
              <w:t xml:space="preserve"> meaning it may increase or decrease</w:t>
            </w:r>
            <w:r w:rsidR="00CA1CE1">
              <w:t>.</w:t>
            </w:r>
          </w:p>
          <w:p w14:paraId="4EA57C8A" w14:textId="77777777" w:rsidR="003F6E7F" w:rsidRDefault="003F6E7F" w:rsidP="0020773C">
            <w:pPr>
              <w:spacing w:before="0"/>
              <w:cnfStyle w:val="000000000000" w:firstRow="0" w:lastRow="0" w:firstColumn="0" w:lastColumn="0" w:oddVBand="0" w:evenVBand="0" w:oddHBand="0" w:evenHBand="0" w:firstRowFirstColumn="0" w:firstRowLastColumn="0" w:lastRowFirstColumn="0" w:lastRowLastColumn="0"/>
            </w:pPr>
            <w:r>
              <w:t xml:space="preserve">This product meets the likely objectives, financial situation and needs of consumers in the target market because it </w:t>
            </w:r>
            <w:r w:rsidRPr="003371A7">
              <w:t>enable</w:t>
            </w:r>
            <w:r>
              <w:t>s</w:t>
            </w:r>
            <w:r w:rsidRPr="003371A7">
              <w:t xml:space="preserve"> consumers in the target market to</w:t>
            </w:r>
            <w:r>
              <w:t>:</w:t>
            </w:r>
          </w:p>
          <w:p w14:paraId="3DA79B51" w14:textId="27428083" w:rsidR="003F6E7F" w:rsidRPr="00FC4468" w:rsidRDefault="003F6E7F" w:rsidP="00B41C25">
            <w:pPr>
              <w:pStyle w:val="ListParagraph"/>
              <w:cnfStyle w:val="000000000000" w:firstRow="0" w:lastRow="0" w:firstColumn="0" w:lastColumn="0" w:oddVBand="0" w:evenVBand="0" w:oddHBand="0" w:evenHBand="0" w:firstRowFirstColumn="0" w:firstRowLastColumn="0" w:lastRowFirstColumn="0" w:lastRowLastColumn="0"/>
            </w:pPr>
            <w:r w:rsidRPr="00FC4468">
              <w:t>purchase an owner occupied home sooner by lowering the entry costs with low deposit requirements and no lenders mortgage insurance</w:t>
            </w:r>
            <w:r w:rsidR="00CA1CE1" w:rsidRPr="00FC4468">
              <w:t>.</w:t>
            </w:r>
          </w:p>
          <w:p w14:paraId="34133C02" w14:textId="24C32465" w:rsidR="003F6E7F" w:rsidRPr="0020773C" w:rsidRDefault="003F6E7F" w:rsidP="00B41C25">
            <w:pPr>
              <w:pStyle w:val="ListParagraph"/>
              <w:cnfStyle w:val="000000000000" w:firstRow="0" w:lastRow="0" w:firstColumn="0" w:lastColumn="0" w:oddVBand="0" w:evenVBand="0" w:oddHBand="0" w:evenHBand="0" w:firstRowFirstColumn="0" w:firstRowLastColumn="0" w:lastRowFirstColumn="0" w:lastRowLastColumn="0"/>
              <w:rPr>
                <w:i/>
              </w:rPr>
            </w:pPr>
            <w:r w:rsidRPr="00FC4468">
              <w:t>for fully funded loans, build equity in</w:t>
            </w:r>
            <w:r>
              <w:t xml:space="preserve"> their property by making principal and interest repayments, including additional repayments at no extra cost</w:t>
            </w:r>
            <w:r w:rsidR="00CA1CE1">
              <w:t>.</w:t>
            </w:r>
          </w:p>
          <w:p w14:paraId="7B484089" w14:textId="2206031F" w:rsidR="003F6E7F" w:rsidRPr="000E24FB" w:rsidRDefault="003F6E7F" w:rsidP="00B41C25">
            <w:pPr>
              <w:pStyle w:val="ListParagraph"/>
              <w:cnfStyle w:val="000000000000" w:firstRow="0" w:lastRow="0" w:firstColumn="0" w:lastColumn="0" w:oddVBand="0" w:evenVBand="0" w:oddHBand="0" w:evenHBand="0" w:firstRowFirstColumn="0" w:firstRowLastColumn="0" w:lastRowFirstColumn="0" w:lastRowLastColumn="0"/>
              <w:rPr>
                <w:i/>
              </w:rPr>
            </w:pPr>
            <w:r w:rsidRPr="00425C5B">
              <w:t>refinance with a</w:t>
            </w:r>
            <w:r>
              <w:t>nother</w:t>
            </w:r>
            <w:r w:rsidRPr="00425C5B">
              <w:t xml:space="preserve"> lender when they are </w:t>
            </w:r>
            <w:proofErr w:type="gramStart"/>
            <w:r w:rsidRPr="00425C5B">
              <w:t>in a position</w:t>
            </w:r>
            <w:proofErr w:type="gramEnd"/>
            <w:r w:rsidRPr="00425C5B">
              <w:t xml:space="preserve"> to do so</w:t>
            </w:r>
            <w:r w:rsidR="00CA1CE1">
              <w:t>.</w:t>
            </w:r>
          </w:p>
        </w:tc>
      </w:tr>
      <w:tr w:rsidR="003F6E7F" w:rsidRPr="000E24FB" w14:paraId="3ECE91DD" w14:textId="01DFAA2B" w:rsidTr="0084284E">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49" w:type="dxa"/>
          </w:tcPr>
          <w:p w14:paraId="532DCF96" w14:textId="6957D8E3" w:rsidR="003F6E7F" w:rsidRPr="00011500" w:rsidRDefault="003F6E7F" w:rsidP="003C2A9B">
            <w:pPr>
              <w:pStyle w:val="Tabletext"/>
            </w:pPr>
            <w:r>
              <w:lastRenderedPageBreak/>
              <w:t>6</w:t>
            </w:r>
          </w:p>
        </w:tc>
        <w:tc>
          <w:tcPr>
            <w:tcW w:w="2614" w:type="dxa"/>
          </w:tcPr>
          <w:p w14:paraId="1F818875" w14:textId="77777777" w:rsidR="003F6E7F" w:rsidRPr="00D63BD2" w:rsidRDefault="003F6E7F" w:rsidP="003C2A9B">
            <w:pPr>
              <w:pStyle w:val="Tabletext"/>
              <w:keepNext/>
              <w:cnfStyle w:val="000000100000" w:firstRow="0" w:lastRow="0" w:firstColumn="0" w:lastColumn="0" w:oddVBand="0" w:evenVBand="0" w:oddHBand="1" w:evenHBand="0" w:firstRowFirstColumn="0" w:firstRowLastColumn="0" w:lastRowFirstColumn="0" w:lastRowLastColumn="0"/>
              <w:rPr>
                <w:b/>
                <w:bCs/>
              </w:rPr>
            </w:pPr>
            <w:r w:rsidRPr="00D63BD2">
              <w:rPr>
                <w:b/>
                <w:bCs/>
              </w:rPr>
              <w:t>Negative target market</w:t>
            </w:r>
          </w:p>
        </w:tc>
        <w:tc>
          <w:tcPr>
            <w:tcW w:w="10687" w:type="dxa"/>
            <w:gridSpan w:val="2"/>
          </w:tcPr>
          <w:p w14:paraId="102FE3E8" w14:textId="66D2B96A" w:rsidR="003F6E7F" w:rsidRDefault="003F6E7F" w:rsidP="004B56D5">
            <w:pPr>
              <w:keepNext/>
              <w:spacing w:before="120"/>
              <w:cnfStyle w:val="000000100000" w:firstRow="0" w:lastRow="0" w:firstColumn="0" w:lastColumn="0" w:oddVBand="0" w:evenVBand="0" w:oddHBand="1" w:evenHBand="0" w:firstRowFirstColumn="0" w:firstRowLastColumn="0" w:lastRowFirstColumn="0" w:lastRowLastColumn="0"/>
            </w:pPr>
            <w:r>
              <w:t xml:space="preserve">This product may not be suitable for </w:t>
            </w:r>
            <w:r w:rsidR="00CA1CE1">
              <w:t xml:space="preserve">customers </w:t>
            </w:r>
            <w:r>
              <w:t>who:</w:t>
            </w:r>
          </w:p>
          <w:p w14:paraId="0FF92721" w14:textId="616572D8" w:rsidR="00CA1CE1" w:rsidRDefault="00CA1CE1" w:rsidP="00C27145">
            <w:pPr>
              <w:pStyle w:val="ListParagraph"/>
              <w:cnfStyle w:val="000000100000" w:firstRow="0" w:lastRow="0" w:firstColumn="0" w:lastColumn="0" w:oddVBand="0" w:evenVBand="0" w:oddHBand="1" w:evenHBand="0" w:firstRowFirstColumn="0" w:firstRowLastColumn="0" w:lastRowFirstColumn="0" w:lastRowLastColumn="0"/>
            </w:pPr>
            <w:proofErr w:type="gramStart"/>
            <w:r>
              <w:t>are able to</w:t>
            </w:r>
            <w:proofErr w:type="gramEnd"/>
            <w:r>
              <w:t xml:space="preserve"> afford more than a 2% deposit for a home loan. </w:t>
            </w:r>
          </w:p>
          <w:p w14:paraId="475CB79C" w14:textId="56550CBA" w:rsidR="003F6E7F" w:rsidRDefault="003F6E7F" w:rsidP="00C27145">
            <w:pPr>
              <w:pStyle w:val="ListParagraph"/>
              <w:cnfStyle w:val="000000100000" w:firstRow="0" w:lastRow="0" w:firstColumn="0" w:lastColumn="0" w:oddVBand="0" w:evenVBand="0" w:oddHBand="1" w:evenHBand="0" w:firstRowFirstColumn="0" w:firstRowLastColumn="0" w:lastRowFirstColumn="0" w:lastRowLastColumn="0"/>
            </w:pPr>
            <w:r>
              <w:t>are i</w:t>
            </w:r>
            <w:r w:rsidRPr="000E24FB">
              <w:t>nvestors</w:t>
            </w:r>
            <w:r w:rsidR="00CA1CE1">
              <w:t>.</w:t>
            </w:r>
          </w:p>
          <w:p w14:paraId="4058C7BA" w14:textId="4A7195B5" w:rsidR="003F6E7F" w:rsidRDefault="003F6E7F" w:rsidP="00C27145">
            <w:pPr>
              <w:pStyle w:val="ListParagraph"/>
              <w:cnfStyle w:val="000000100000" w:firstRow="0" w:lastRow="0" w:firstColumn="0" w:lastColumn="0" w:oddVBand="0" w:evenVBand="0" w:oddHBand="1" w:evenHBand="0" w:firstRowFirstColumn="0" w:firstRowLastColumn="0" w:lastRowFirstColumn="0" w:lastRowLastColumn="0"/>
            </w:pPr>
            <w:r>
              <w:t>require a fixed interest rate</w:t>
            </w:r>
            <w:r w:rsidR="001A2475">
              <w:t>.</w:t>
            </w:r>
          </w:p>
          <w:p w14:paraId="71900A11" w14:textId="13A2A637" w:rsidR="001A2475" w:rsidRPr="000E24FB" w:rsidRDefault="001A2475" w:rsidP="00C27145">
            <w:pPr>
              <w:pStyle w:val="ListParagraph"/>
              <w:cnfStyle w:val="000000100000" w:firstRow="0" w:lastRow="0" w:firstColumn="0" w:lastColumn="0" w:oddVBand="0" w:evenVBand="0" w:oddHBand="1" w:evenHBand="0" w:firstRowFirstColumn="0" w:firstRowLastColumn="0" w:lastRowFirstColumn="0" w:lastRowLastColumn="0"/>
            </w:pPr>
            <w:r>
              <w:t>require an offset account.</w:t>
            </w:r>
          </w:p>
          <w:p w14:paraId="5DF6FB4D" w14:textId="23322E5E" w:rsidR="003F6E7F" w:rsidRPr="000E24FB" w:rsidRDefault="003F6E7F" w:rsidP="00C27145">
            <w:pPr>
              <w:pStyle w:val="ListParagraph"/>
              <w:cnfStyle w:val="000000100000" w:firstRow="0" w:lastRow="0" w:firstColumn="0" w:lastColumn="0" w:oddVBand="0" w:evenVBand="0" w:oddHBand="1" w:evenHBand="0" w:firstRowFirstColumn="0" w:firstRowLastColumn="0" w:lastRowFirstColumn="0" w:lastRowLastColumn="0"/>
            </w:pPr>
            <w:r>
              <w:t>require a g</w:t>
            </w:r>
            <w:r w:rsidRPr="000E24FB">
              <w:t>uarantor</w:t>
            </w:r>
            <w:r>
              <w:t xml:space="preserve"> for the loan</w:t>
            </w:r>
            <w:r w:rsidR="001A2475">
              <w:t>.</w:t>
            </w:r>
          </w:p>
          <w:p w14:paraId="67139CA0" w14:textId="2F6C49A4" w:rsidR="003F6E7F" w:rsidRPr="00D63BD2" w:rsidRDefault="003F6E7F" w:rsidP="00C27145">
            <w:pPr>
              <w:pStyle w:val="ListParagraph"/>
              <w:cnfStyle w:val="000000100000" w:firstRow="0" w:lastRow="0" w:firstColumn="0" w:lastColumn="0" w:oddVBand="0" w:evenVBand="0" w:oddHBand="1" w:evenHBand="0" w:firstRowFirstColumn="0" w:firstRowLastColumn="0" w:lastRowFirstColumn="0" w:lastRowLastColumn="0"/>
              <w:rPr>
                <w:i/>
              </w:rPr>
            </w:pPr>
            <w:r>
              <w:t>are living</w:t>
            </w:r>
            <w:r w:rsidRPr="000E24FB">
              <w:t xml:space="preserve"> outside Western Australia</w:t>
            </w:r>
            <w:r w:rsidR="001A2475">
              <w:t>.</w:t>
            </w:r>
          </w:p>
          <w:p w14:paraId="13DD698A" w14:textId="693F7A16" w:rsidR="00C27145" w:rsidRPr="00526C52" w:rsidRDefault="00C27145" w:rsidP="00C27145">
            <w:pPr>
              <w:pStyle w:val="ListParagraph"/>
              <w:cnfStyle w:val="000000100000" w:firstRow="0" w:lastRow="0" w:firstColumn="0" w:lastColumn="0" w:oddVBand="0" w:evenVBand="0" w:oddHBand="1" w:evenHBand="0" w:firstRowFirstColumn="0" w:firstRowLastColumn="0" w:lastRowFirstColumn="0" w:lastRowLastColumn="0"/>
            </w:pPr>
            <w:r>
              <w:t xml:space="preserve">are looking for a house valued above the median house price. </w:t>
            </w:r>
          </w:p>
          <w:p w14:paraId="51039CE2" w14:textId="77777777" w:rsidR="003F6E7F" w:rsidRPr="00CC2CBF" w:rsidRDefault="00C27145" w:rsidP="00C27145">
            <w:pPr>
              <w:pStyle w:val="ListParagraph"/>
              <w:cnfStyle w:val="000000100000" w:firstRow="0" w:lastRow="0" w:firstColumn="0" w:lastColumn="0" w:oddVBand="0" w:evenVBand="0" w:oddHBand="1" w:evenHBand="0" w:firstRowFirstColumn="0" w:firstRowLastColumn="0" w:lastRowFirstColumn="0" w:lastRowLastColumn="0"/>
              <w:rPr>
                <w:i/>
              </w:rPr>
            </w:pPr>
            <w:r>
              <w:t>d</w:t>
            </w:r>
            <w:r w:rsidR="003F6E7F">
              <w:t xml:space="preserve">o not </w:t>
            </w:r>
            <w:r w:rsidR="001A2475">
              <w:t xml:space="preserve">otherwise </w:t>
            </w:r>
            <w:r w:rsidR="003F6E7F">
              <w:t>satisfy our eligibility criteria</w:t>
            </w:r>
            <w:r w:rsidR="001A2475">
              <w:t>.</w:t>
            </w:r>
          </w:p>
          <w:p w14:paraId="766C964A" w14:textId="0CEA2C91" w:rsidR="00F41856" w:rsidRPr="00C73B72" w:rsidRDefault="0012114F" w:rsidP="00C73B72">
            <w:pPr>
              <w:pStyle w:val="ListParagraph"/>
              <w:cnfStyle w:val="000000100000" w:firstRow="0" w:lastRow="0" w:firstColumn="0" w:lastColumn="0" w:oddVBand="0" w:evenVBand="0" w:oddHBand="1" w:evenHBand="0" w:firstRowFirstColumn="0" w:firstRowLastColumn="0" w:lastRowFirstColumn="0" w:lastRowLastColumn="0"/>
              <w:rPr>
                <w:iCs/>
              </w:rPr>
            </w:pPr>
            <w:r>
              <w:rPr>
                <w:iCs/>
              </w:rPr>
              <w:t>w</w:t>
            </w:r>
            <w:r w:rsidR="00CC2CBF">
              <w:rPr>
                <w:iCs/>
              </w:rPr>
              <w:t xml:space="preserve">ant to build a home that does not otherwise satisfy our minimum building requirements (if constructing a home). </w:t>
            </w:r>
          </w:p>
        </w:tc>
      </w:tr>
      <w:tr w:rsidR="003F6E7F" w:rsidRPr="000E24FB" w14:paraId="25B3B2CB" w14:textId="20038C4F" w:rsidTr="0084284E">
        <w:trPr>
          <w:trHeight w:val="504"/>
        </w:trPr>
        <w:tc>
          <w:tcPr>
            <w:cnfStyle w:val="001000000000" w:firstRow="0" w:lastRow="0" w:firstColumn="1" w:lastColumn="0" w:oddVBand="0" w:evenVBand="0" w:oddHBand="0" w:evenHBand="0" w:firstRowFirstColumn="0" w:firstRowLastColumn="0" w:lastRowFirstColumn="0" w:lastRowLastColumn="0"/>
            <w:tcW w:w="449" w:type="dxa"/>
          </w:tcPr>
          <w:p w14:paraId="15BEA43A" w14:textId="2E7CFB35" w:rsidR="003F6E7F" w:rsidRPr="00011500" w:rsidRDefault="003F6E7F" w:rsidP="00011500">
            <w:pPr>
              <w:pStyle w:val="Tabletext"/>
            </w:pPr>
            <w:r>
              <w:lastRenderedPageBreak/>
              <w:t>7</w:t>
            </w:r>
          </w:p>
        </w:tc>
        <w:tc>
          <w:tcPr>
            <w:tcW w:w="2614" w:type="dxa"/>
          </w:tcPr>
          <w:p w14:paraId="4DAF0FD9" w14:textId="555FEB95" w:rsidR="003F6E7F" w:rsidRPr="00474D1A" w:rsidRDefault="003F6E7F" w:rsidP="0020773C">
            <w:pPr>
              <w:pStyle w:val="Tabletext"/>
              <w:keepNext/>
              <w:cnfStyle w:val="000000000000" w:firstRow="0" w:lastRow="0" w:firstColumn="0" w:lastColumn="0" w:oddVBand="0" w:evenVBand="0" w:oddHBand="0" w:evenHBand="0" w:firstRowFirstColumn="0" w:firstRowLastColumn="0" w:lastRowFirstColumn="0" w:lastRowLastColumn="0"/>
              <w:rPr>
                <w:b/>
                <w:bCs/>
              </w:rPr>
            </w:pPr>
            <w:r w:rsidRPr="00474D1A">
              <w:rPr>
                <w:b/>
                <w:bCs/>
              </w:rPr>
              <w:t>Description of distribution conditions and restrictions</w:t>
            </w:r>
          </w:p>
        </w:tc>
        <w:tc>
          <w:tcPr>
            <w:tcW w:w="10687" w:type="dxa"/>
            <w:gridSpan w:val="2"/>
          </w:tcPr>
          <w:p w14:paraId="307AE977" w14:textId="5E05914C" w:rsidR="003F6E7F" w:rsidRDefault="003F6E7F" w:rsidP="00944590">
            <w:pPr>
              <w:pStyle w:val="Tabletext"/>
              <w:cnfStyle w:val="000000000000" w:firstRow="0" w:lastRow="0" w:firstColumn="0" w:lastColumn="0" w:oddVBand="0" w:evenVBand="0" w:oddHBand="0" w:evenHBand="0" w:firstRowFirstColumn="0" w:firstRowLastColumn="0" w:lastRowFirstColumn="0" w:lastRowLastColumn="0"/>
              <w:rPr>
                <w:b/>
              </w:rPr>
            </w:pPr>
            <w:r>
              <w:rPr>
                <w:b/>
              </w:rPr>
              <w:t>Distribution Methods:</w:t>
            </w:r>
          </w:p>
          <w:p w14:paraId="765B5411" w14:textId="77777777" w:rsidR="003F6E7F" w:rsidRPr="008E6D6A" w:rsidRDefault="003F6E7F" w:rsidP="00944590">
            <w:pPr>
              <w:pStyle w:val="Tabletext"/>
              <w:cnfStyle w:val="000000000000" w:firstRow="0" w:lastRow="0" w:firstColumn="0" w:lastColumn="0" w:oddVBand="0" w:evenVBand="0" w:oddHBand="0" w:evenHBand="0" w:firstRowFirstColumn="0" w:firstRowLastColumn="0" w:lastRowFirstColumn="0" w:lastRowLastColumn="0"/>
              <w:rPr>
                <w:u w:val="single"/>
              </w:rPr>
            </w:pPr>
            <w:r w:rsidRPr="008E6D6A">
              <w:rPr>
                <w:u w:val="single"/>
              </w:rPr>
              <w:t xml:space="preserve">Direct (online, in-person or by phone): </w:t>
            </w:r>
          </w:p>
          <w:p w14:paraId="28B50836" w14:textId="77777777" w:rsidR="003F6E7F" w:rsidRDefault="003F6E7F" w:rsidP="00944590">
            <w:pPr>
              <w:pStyle w:val="Tabletext"/>
              <w:cnfStyle w:val="000000000000" w:firstRow="0" w:lastRow="0" w:firstColumn="0" w:lastColumn="0" w:oddVBand="0" w:evenVBand="0" w:oddHBand="0" w:evenHBand="0" w:firstRowFirstColumn="0" w:firstRowLastColumn="0" w:lastRowFirstColumn="0" w:lastRowLastColumn="0"/>
              <w:rPr>
                <w:rFonts w:cs="Arial"/>
              </w:rPr>
            </w:pPr>
            <w:r>
              <w:t xml:space="preserve">Keystart’s contact centre team take direct </w:t>
            </w:r>
            <w:proofErr w:type="gramStart"/>
            <w:r>
              <w:t>calls, and</w:t>
            </w:r>
            <w:proofErr w:type="gramEnd"/>
            <w:r>
              <w:t xml:space="preserve"> walk ins from potential applicants. Our </w:t>
            </w:r>
            <w:r w:rsidRPr="007E30A8">
              <w:t xml:space="preserve">home loan specialists and dedicated Aboriginal Liaison Team </w:t>
            </w:r>
            <w:r>
              <w:t xml:space="preserve">also </w:t>
            </w:r>
            <w:r w:rsidRPr="007E30A8">
              <w:t xml:space="preserve">attend seminars and presentations to provide general information about Keystart’s products. </w:t>
            </w:r>
            <w:r>
              <w:t xml:space="preserve">Only our home loan specialists assist applicants with applying for our home loan products. Home loan specialists </w:t>
            </w:r>
            <w:r>
              <w:rPr>
                <w:rFonts w:cs="Arial"/>
              </w:rPr>
              <w:t>have the necessary training, skills and knowledge to assess whether the consumer is within the target market.</w:t>
            </w:r>
          </w:p>
          <w:p w14:paraId="4408D928" w14:textId="77777777" w:rsidR="003F6E7F" w:rsidRPr="008E6D6A" w:rsidRDefault="003F6E7F" w:rsidP="00944590">
            <w:pPr>
              <w:pStyle w:val="Tabletext"/>
              <w:cnfStyle w:val="000000000000" w:firstRow="0" w:lastRow="0" w:firstColumn="0" w:lastColumn="0" w:oddVBand="0" w:evenVBand="0" w:oddHBand="0" w:evenHBand="0" w:firstRowFirstColumn="0" w:firstRowLastColumn="0" w:lastRowFirstColumn="0" w:lastRowLastColumn="0"/>
              <w:rPr>
                <w:u w:val="single"/>
              </w:rPr>
            </w:pPr>
            <w:r w:rsidRPr="008E6D6A">
              <w:rPr>
                <w:u w:val="single"/>
              </w:rPr>
              <w:t>Aggregators</w:t>
            </w:r>
            <w:r>
              <w:rPr>
                <w:u w:val="single"/>
              </w:rPr>
              <w:t xml:space="preserve"> and their brokers</w:t>
            </w:r>
            <w:r w:rsidRPr="008E6D6A">
              <w:rPr>
                <w:u w:val="single"/>
              </w:rPr>
              <w:t>:</w:t>
            </w:r>
          </w:p>
          <w:p w14:paraId="227FAFB2" w14:textId="255D6129" w:rsidR="003F6E7F" w:rsidRDefault="003F6E7F" w:rsidP="00944590">
            <w:pPr>
              <w:pStyle w:val="Tabletext"/>
              <w:cnfStyle w:val="000000000000" w:firstRow="0" w:lastRow="0" w:firstColumn="0" w:lastColumn="0" w:oddVBand="0" w:evenVBand="0" w:oddHBand="0" w:evenHBand="0" w:firstRowFirstColumn="0" w:firstRowLastColumn="0" w:lastRowFirstColumn="0" w:lastRowLastColumn="0"/>
            </w:pPr>
            <w:r>
              <w:t xml:space="preserve">Keystart has origination agreements with aggregators who have </w:t>
            </w:r>
            <w:proofErr w:type="gramStart"/>
            <w:r>
              <w:t>a number of</w:t>
            </w:r>
            <w:proofErr w:type="gramEnd"/>
            <w:r>
              <w:t xml:space="preserve"> brokers operating under their licenses. A broker must pass Keystart’s accreditation process and supply all relevant compliance documents </w:t>
            </w:r>
            <w:proofErr w:type="gramStart"/>
            <w:r>
              <w:t>in order to</w:t>
            </w:r>
            <w:proofErr w:type="gramEnd"/>
            <w:r>
              <w:t xml:space="preserve"> be accredited to assist consumers to apply for a loan.  A</w:t>
            </w:r>
            <w:r w:rsidRPr="00162B8D">
              <w:t xml:space="preserve">ccredited brokers </w:t>
            </w:r>
            <w:r>
              <w:t xml:space="preserve">are </w:t>
            </w:r>
            <w:r w:rsidRPr="00162B8D">
              <w:t xml:space="preserve">subject to </w:t>
            </w:r>
            <w:r>
              <w:t xml:space="preserve">the </w:t>
            </w:r>
            <w:r w:rsidRPr="00162B8D">
              <w:t>Best Interests Duty (BID).</w:t>
            </w:r>
          </w:p>
          <w:p w14:paraId="1784032D" w14:textId="77777777" w:rsidR="003F6E7F" w:rsidRDefault="003F6E7F" w:rsidP="00944590">
            <w:pPr>
              <w:pStyle w:val="Tabletext"/>
              <w:cnfStyle w:val="000000000000" w:firstRow="0" w:lastRow="0" w:firstColumn="0" w:lastColumn="0" w:oddVBand="0" w:evenVBand="0" w:oddHBand="0" w:evenHBand="0" w:firstRowFirstColumn="0" w:firstRowLastColumn="0" w:lastRowFirstColumn="0" w:lastRowLastColumn="0"/>
              <w:rPr>
                <w:b/>
              </w:rPr>
            </w:pPr>
            <w:r>
              <w:rPr>
                <w:b/>
              </w:rPr>
              <w:t>Distribution Conditions:</w:t>
            </w:r>
          </w:p>
          <w:p w14:paraId="3E7AA213" w14:textId="77777777" w:rsidR="003F6E7F" w:rsidRPr="008E6D6A" w:rsidRDefault="003F6E7F" w:rsidP="00944590">
            <w:pPr>
              <w:pStyle w:val="Tabletext"/>
              <w:cnfStyle w:val="000000000000" w:firstRow="0" w:lastRow="0" w:firstColumn="0" w:lastColumn="0" w:oddVBand="0" w:evenVBand="0" w:oddHBand="0" w:evenHBand="0" w:firstRowFirstColumn="0" w:firstRowLastColumn="0" w:lastRowFirstColumn="0" w:lastRowLastColumn="0"/>
              <w:rPr>
                <w:u w:val="single"/>
              </w:rPr>
            </w:pPr>
            <w:r w:rsidRPr="008E6D6A">
              <w:rPr>
                <w:u w:val="single"/>
              </w:rPr>
              <w:t xml:space="preserve">Direct (online, in-person or by phone): </w:t>
            </w:r>
          </w:p>
          <w:p w14:paraId="01A88CBF" w14:textId="5150C504" w:rsidR="003F6E7F" w:rsidRDefault="003F6E7F" w:rsidP="00944590">
            <w:pPr>
              <w:pStyle w:val="ListParagraph"/>
              <w:numPr>
                <w:ilvl w:val="0"/>
                <w:numId w:val="28"/>
              </w:numPr>
              <w:spacing w:before="240" w:after="0"/>
              <w:cnfStyle w:val="000000000000" w:firstRow="0" w:lastRow="0" w:firstColumn="0" w:lastColumn="0" w:oddVBand="0" w:evenVBand="0" w:oddHBand="0" w:evenHBand="0" w:firstRowFirstColumn="0" w:firstRowLastColumn="0" w:lastRowFirstColumn="0" w:lastRowLastColumn="0"/>
            </w:pPr>
            <w:r>
              <w:t>Adequate and ongoing training to our customer facing staff on the promotion and distribution of our products in accordance with our target market determination</w:t>
            </w:r>
          </w:p>
          <w:p w14:paraId="3A2C26B2" w14:textId="22A30CC3" w:rsidR="003F6E7F" w:rsidRDefault="003F6E7F" w:rsidP="00944590">
            <w:pPr>
              <w:pStyle w:val="ListParagraph"/>
              <w:numPr>
                <w:ilvl w:val="0"/>
                <w:numId w:val="28"/>
              </w:numPr>
              <w:spacing w:before="240" w:after="0"/>
              <w:cnfStyle w:val="000000000000" w:firstRow="0" w:lastRow="0" w:firstColumn="0" w:lastColumn="0" w:oddVBand="0" w:evenVBand="0" w:oddHBand="0" w:evenHBand="0" w:firstRowFirstColumn="0" w:firstRowLastColumn="0" w:lastRowFirstColumn="0" w:lastRowLastColumn="0"/>
            </w:pPr>
            <w:r>
              <w:t>A consistent channel for complaints is publicly available</w:t>
            </w:r>
          </w:p>
          <w:p w14:paraId="4AD5540E" w14:textId="642D544D" w:rsidR="003F6E7F" w:rsidRDefault="003F6E7F" w:rsidP="00944590">
            <w:pPr>
              <w:pStyle w:val="ListParagraph"/>
              <w:numPr>
                <w:ilvl w:val="0"/>
                <w:numId w:val="28"/>
              </w:numPr>
              <w:spacing w:before="240" w:after="0"/>
              <w:cnfStyle w:val="000000000000" w:firstRow="0" w:lastRow="0" w:firstColumn="0" w:lastColumn="0" w:oddVBand="0" w:evenVBand="0" w:oddHBand="0" w:evenHBand="0" w:firstRowFirstColumn="0" w:firstRowLastColumn="0" w:lastRowFirstColumn="0" w:lastRowLastColumn="0"/>
            </w:pPr>
            <w:r>
              <w:t>No incentives or commission paid to our home loan specialists</w:t>
            </w:r>
          </w:p>
          <w:p w14:paraId="750676C6" w14:textId="3A080868" w:rsidR="003F6E7F" w:rsidRDefault="003F6E7F" w:rsidP="00944590">
            <w:pPr>
              <w:pStyle w:val="ListParagraph"/>
              <w:numPr>
                <w:ilvl w:val="0"/>
                <w:numId w:val="28"/>
              </w:numPr>
              <w:spacing w:before="240" w:after="0"/>
              <w:cnfStyle w:val="000000000000" w:firstRow="0" w:lastRow="0" w:firstColumn="0" w:lastColumn="0" w:oddVBand="0" w:evenVBand="0" w:oddHBand="0" w:evenHBand="0" w:firstRowFirstColumn="0" w:firstRowLastColumn="0" w:lastRowFirstColumn="0" w:lastRowLastColumn="0"/>
            </w:pPr>
            <w:r>
              <w:t>Our team is monitored via specific KPIs, e.g., deferrals rates and net promotor score</w:t>
            </w:r>
          </w:p>
          <w:p w14:paraId="14077408" w14:textId="77777777" w:rsidR="003F6E7F" w:rsidRPr="008E6D6A" w:rsidRDefault="003F6E7F" w:rsidP="00944590">
            <w:pPr>
              <w:pStyle w:val="Tabletext"/>
              <w:cnfStyle w:val="000000000000" w:firstRow="0" w:lastRow="0" w:firstColumn="0" w:lastColumn="0" w:oddVBand="0" w:evenVBand="0" w:oddHBand="0" w:evenHBand="0" w:firstRowFirstColumn="0" w:firstRowLastColumn="0" w:lastRowFirstColumn="0" w:lastRowLastColumn="0"/>
              <w:rPr>
                <w:u w:val="single"/>
              </w:rPr>
            </w:pPr>
            <w:r w:rsidRPr="008E6D6A">
              <w:rPr>
                <w:u w:val="single"/>
              </w:rPr>
              <w:t>Aggregators</w:t>
            </w:r>
            <w:r>
              <w:rPr>
                <w:u w:val="single"/>
              </w:rPr>
              <w:t xml:space="preserve"> and their brokers</w:t>
            </w:r>
            <w:r w:rsidRPr="008E6D6A">
              <w:rPr>
                <w:u w:val="single"/>
              </w:rPr>
              <w:t>:</w:t>
            </w:r>
          </w:p>
          <w:p w14:paraId="7CFB122C" w14:textId="61374FFA" w:rsidR="003F6E7F" w:rsidRDefault="003F6E7F" w:rsidP="00944590">
            <w:pPr>
              <w:pStyle w:val="ListParagraph"/>
              <w:numPr>
                <w:ilvl w:val="0"/>
                <w:numId w:val="29"/>
              </w:numPr>
              <w:spacing w:before="240" w:after="0"/>
              <w:cnfStyle w:val="000000000000" w:firstRow="0" w:lastRow="0" w:firstColumn="0" w:lastColumn="0" w:oddVBand="0" w:evenVBand="0" w:oddHBand="0" w:evenHBand="0" w:firstRowFirstColumn="0" w:firstRowLastColumn="0" w:lastRowFirstColumn="0" w:lastRowLastColumn="0"/>
            </w:pPr>
            <w:r>
              <w:t>Keystart’s Origination Agreement provides contractual arrangements about the distribution and promotion of our products</w:t>
            </w:r>
          </w:p>
          <w:p w14:paraId="46F515D3" w14:textId="22040DA0" w:rsidR="003F6E7F" w:rsidRDefault="003F6E7F" w:rsidP="00944590">
            <w:pPr>
              <w:pStyle w:val="ListParagraph"/>
              <w:numPr>
                <w:ilvl w:val="0"/>
                <w:numId w:val="29"/>
              </w:numPr>
              <w:spacing w:before="240" w:after="0"/>
              <w:cnfStyle w:val="000000000000" w:firstRow="0" w:lastRow="0" w:firstColumn="0" w:lastColumn="0" w:oddVBand="0" w:evenVBand="0" w:oddHBand="0" w:evenHBand="0" w:firstRowFirstColumn="0" w:firstRowLastColumn="0" w:lastRowFirstColumn="0" w:lastRowLastColumn="0"/>
            </w:pPr>
            <w:r>
              <w:t xml:space="preserve">All brokers must pass Keystart’s accreditation process and supply all relevant compliance documents, </w:t>
            </w:r>
            <w:proofErr w:type="spellStart"/>
            <w:r>
              <w:t>eg.</w:t>
            </w:r>
            <w:proofErr w:type="spellEnd"/>
            <w:r>
              <w:t xml:space="preserve"> MFAA or FBAA Membership, have an active ACL and not have any disqualifications or bans with ASIC</w:t>
            </w:r>
          </w:p>
          <w:p w14:paraId="15DD5AA0" w14:textId="56200F92" w:rsidR="003F6E7F" w:rsidRDefault="003F6E7F" w:rsidP="00944590">
            <w:pPr>
              <w:pStyle w:val="ListParagraph"/>
              <w:numPr>
                <w:ilvl w:val="0"/>
                <w:numId w:val="28"/>
              </w:numPr>
              <w:spacing w:before="240" w:after="0"/>
              <w:cnfStyle w:val="000000000000" w:firstRow="0" w:lastRow="0" w:firstColumn="0" w:lastColumn="0" w:oddVBand="0" w:evenVBand="0" w:oddHBand="0" w:evenHBand="0" w:firstRowFirstColumn="0" w:firstRowLastColumn="0" w:lastRowFirstColumn="0" w:lastRowLastColumn="0"/>
            </w:pPr>
            <w:r>
              <w:t>Brokers are monitored via specific KPIs, deferrals, customer outcomes, net promotor score etc</w:t>
            </w:r>
          </w:p>
          <w:p w14:paraId="64FD5457" w14:textId="5EE6CD2B" w:rsidR="003F6E7F" w:rsidRDefault="003F6E7F" w:rsidP="00944590">
            <w:pPr>
              <w:pStyle w:val="ListParagraph"/>
              <w:numPr>
                <w:ilvl w:val="0"/>
                <w:numId w:val="29"/>
              </w:numPr>
              <w:spacing w:before="240" w:after="0"/>
              <w:cnfStyle w:val="000000000000" w:firstRow="0" w:lastRow="0" w:firstColumn="0" w:lastColumn="0" w:oddVBand="0" w:evenVBand="0" w:oddHBand="0" w:evenHBand="0" w:firstRowFirstColumn="0" w:firstRowLastColumn="0" w:lastRowFirstColumn="0" w:lastRowLastColumn="0"/>
            </w:pPr>
            <w:r>
              <w:t>A</w:t>
            </w:r>
            <w:r w:rsidRPr="00BD1843">
              <w:t xml:space="preserve">ccredited mortgage brokers are subject to a higher duty under BID to ensure that the product is in the best interests of the </w:t>
            </w:r>
            <w:proofErr w:type="gramStart"/>
            <w:r w:rsidRPr="00BD1843">
              <w:t>particular consumer</w:t>
            </w:r>
            <w:proofErr w:type="gramEnd"/>
          </w:p>
          <w:p w14:paraId="4FFFDC4F" w14:textId="5759E341" w:rsidR="003F6E7F" w:rsidRPr="000E24FB" w:rsidRDefault="003F6E7F" w:rsidP="00944590">
            <w:pPr>
              <w:pStyle w:val="ListParagraph"/>
              <w:numPr>
                <w:ilvl w:val="0"/>
                <w:numId w:val="29"/>
              </w:numPr>
              <w:spacing w:before="240" w:after="0"/>
              <w:cnfStyle w:val="000000000000" w:firstRow="0" w:lastRow="0" w:firstColumn="0" w:lastColumn="0" w:oddVBand="0" w:evenVBand="0" w:oddHBand="0" w:evenHBand="0" w:firstRowFirstColumn="0" w:firstRowLastColumn="0" w:lastRowFirstColumn="0" w:lastRowLastColumn="0"/>
            </w:pPr>
            <w:r>
              <w:t>A consistent channel for customer complaints is publicly available</w:t>
            </w:r>
          </w:p>
        </w:tc>
      </w:tr>
      <w:tr w:rsidR="003F6E7F" w:rsidRPr="000E24FB" w14:paraId="2D457E39" w14:textId="20993A0A" w:rsidTr="0084284E">
        <w:trPr>
          <w:cnfStyle w:val="000000100000" w:firstRow="0" w:lastRow="0" w:firstColumn="0" w:lastColumn="0" w:oddVBand="0" w:evenVBand="0" w:oddHBand="1" w:evenHBand="0" w:firstRowFirstColumn="0" w:firstRowLastColumn="0" w:lastRowFirstColumn="0" w:lastRowLastColumn="0"/>
          <w:cantSplit/>
          <w:trHeight w:val="504"/>
        </w:trPr>
        <w:tc>
          <w:tcPr>
            <w:cnfStyle w:val="001000000000" w:firstRow="0" w:lastRow="0" w:firstColumn="1" w:lastColumn="0" w:oddVBand="0" w:evenVBand="0" w:oddHBand="0" w:evenHBand="0" w:firstRowFirstColumn="0" w:firstRowLastColumn="0" w:lastRowFirstColumn="0" w:lastRowLastColumn="0"/>
            <w:tcW w:w="449" w:type="dxa"/>
          </w:tcPr>
          <w:p w14:paraId="79DEE564" w14:textId="0CFBB6B0" w:rsidR="003F6E7F" w:rsidRPr="00011500" w:rsidRDefault="003F6E7F" w:rsidP="00011500">
            <w:pPr>
              <w:pStyle w:val="Tabletext"/>
            </w:pPr>
            <w:r>
              <w:lastRenderedPageBreak/>
              <w:t>8</w:t>
            </w:r>
          </w:p>
        </w:tc>
        <w:tc>
          <w:tcPr>
            <w:tcW w:w="2614" w:type="dxa"/>
          </w:tcPr>
          <w:p w14:paraId="771330C0" w14:textId="16A40221" w:rsidR="003F6E7F" w:rsidRPr="00474D1A" w:rsidRDefault="003F6E7F" w:rsidP="00B41C25">
            <w:pPr>
              <w:pStyle w:val="Tabletext"/>
              <w:cnfStyle w:val="000000100000" w:firstRow="0" w:lastRow="0" w:firstColumn="0" w:lastColumn="0" w:oddVBand="0" w:evenVBand="0" w:oddHBand="1" w:evenHBand="0" w:firstRowFirstColumn="0" w:firstRowLastColumn="0" w:lastRowFirstColumn="0" w:lastRowLastColumn="0"/>
              <w:rPr>
                <w:b/>
                <w:bCs/>
              </w:rPr>
            </w:pPr>
            <w:r w:rsidRPr="00474D1A">
              <w:rPr>
                <w:b/>
                <w:bCs/>
              </w:rPr>
              <w:t xml:space="preserve">Review triggers </w:t>
            </w:r>
          </w:p>
        </w:tc>
        <w:tc>
          <w:tcPr>
            <w:tcW w:w="10687" w:type="dxa"/>
            <w:gridSpan w:val="2"/>
          </w:tcPr>
          <w:p w14:paraId="33FB9120" w14:textId="75667248" w:rsidR="003F6E7F" w:rsidRDefault="003F6E7F" w:rsidP="00CB0A26">
            <w:pPr>
              <w:pStyle w:val="Tabletext"/>
              <w:cnfStyle w:val="000000100000" w:firstRow="0" w:lastRow="0" w:firstColumn="0" w:lastColumn="0" w:oddVBand="0" w:evenVBand="0" w:oddHBand="1" w:evenHBand="0" w:firstRowFirstColumn="0" w:firstRowLastColumn="0" w:lastRowFirstColumn="0" w:lastRowLastColumn="0"/>
            </w:pPr>
            <w:r>
              <w:t>A review will be triggered if:</w:t>
            </w:r>
          </w:p>
          <w:p w14:paraId="2BD6A66C" w14:textId="6D65E336" w:rsidR="003F6E7F" w:rsidRDefault="003F6E7F" w:rsidP="00843885">
            <w:pPr>
              <w:pStyle w:val="Tabletext"/>
              <w:numPr>
                <w:ilvl w:val="0"/>
                <w:numId w:val="29"/>
              </w:numPr>
              <w:spacing w:after="0"/>
              <w:cnfStyle w:val="000000100000" w:firstRow="0" w:lastRow="0" w:firstColumn="0" w:lastColumn="0" w:oddVBand="0" w:evenVBand="0" w:oddHBand="1" w:evenHBand="0" w:firstRowFirstColumn="0" w:firstRowLastColumn="0" w:lastRowFirstColumn="0" w:lastRowLastColumn="0"/>
            </w:pPr>
            <w:r>
              <w:t xml:space="preserve">a significant dealing of the product to </w:t>
            </w:r>
            <w:r w:rsidR="0041286D">
              <w:t>customers</w:t>
            </w:r>
            <w:r>
              <w:t xml:space="preserve"> outside the target market occurs</w:t>
            </w:r>
            <w:r w:rsidR="0041286D">
              <w:t>.</w:t>
            </w:r>
          </w:p>
          <w:p w14:paraId="3A9DC604" w14:textId="79EAAA4E" w:rsidR="00843885" w:rsidRPr="00843885" w:rsidRDefault="003F6E7F" w:rsidP="003F15E1">
            <w:pPr>
              <w:pStyle w:val="ListParagraph"/>
              <w:numPr>
                <w:ilvl w:val="0"/>
                <w:numId w:val="29"/>
              </w:numPr>
              <w:spacing w:before="0" w:after="0"/>
              <w:jc w:val="both"/>
              <w:cnfStyle w:val="000000100000" w:firstRow="0" w:lastRow="0" w:firstColumn="0" w:lastColumn="0" w:oddVBand="0" w:evenVBand="0" w:oddHBand="1" w:evenHBand="0" w:firstRowFirstColumn="0" w:firstRowLastColumn="0" w:lastRowFirstColumn="0" w:lastRowLastColumn="0"/>
            </w:pPr>
            <w:r>
              <w:t xml:space="preserve">a </w:t>
            </w:r>
            <w:r w:rsidRPr="00011500">
              <w:t>significant increase</w:t>
            </w:r>
            <w:r w:rsidR="005E65A7">
              <w:t>, beyond expected levels, in the number of</w:t>
            </w:r>
            <w:r w:rsidRPr="00011500">
              <w:t xml:space="preserve"> complaints or disputes</w:t>
            </w:r>
            <w:r w:rsidR="00B82351">
              <w:t xml:space="preserve"> received from customers in relation</w:t>
            </w:r>
            <w:r w:rsidRPr="00011500">
              <w:t xml:space="preserve"> to the product </w:t>
            </w:r>
            <w:r w:rsidR="00DD4C83" w:rsidRPr="00474D1A">
              <w:rPr>
                <w:i/>
                <w:iCs/>
              </w:rPr>
              <w:t>(i.e. 10% increase compared to expected levels</w:t>
            </w:r>
            <w:r w:rsidR="00DD4C83">
              <w:t xml:space="preserve">); </w:t>
            </w:r>
            <w:r w:rsidR="00843885" w:rsidRPr="0005265A">
              <w:t xml:space="preserve">a significant </w:t>
            </w:r>
            <w:r w:rsidR="00843885" w:rsidRPr="00843885">
              <w:t xml:space="preserve">number of </w:t>
            </w:r>
            <w:r w:rsidR="00843885" w:rsidRPr="00474D1A">
              <w:t xml:space="preserve">customers are in </w:t>
            </w:r>
            <w:r w:rsidR="00843885" w:rsidRPr="00843885">
              <w:t xml:space="preserve">default </w:t>
            </w:r>
            <w:r w:rsidR="00843885" w:rsidRPr="00474D1A">
              <w:t>at the early stages of the loan</w:t>
            </w:r>
            <w:r w:rsidR="0041286D">
              <w:t>.</w:t>
            </w:r>
          </w:p>
          <w:p w14:paraId="25AE935D" w14:textId="0FB73626" w:rsidR="00843885" w:rsidRPr="00843885" w:rsidRDefault="00843885" w:rsidP="00843885">
            <w:pPr>
              <w:pStyle w:val="ListParagraph"/>
              <w:numPr>
                <w:ilvl w:val="0"/>
                <w:numId w:val="29"/>
              </w:numPr>
              <w:spacing w:before="240" w:after="0"/>
              <w:jc w:val="both"/>
              <w:cnfStyle w:val="000000100000" w:firstRow="0" w:lastRow="0" w:firstColumn="0" w:lastColumn="0" w:oddVBand="0" w:evenVBand="0" w:oddHBand="1" w:evenHBand="0" w:firstRowFirstColumn="0" w:firstRowLastColumn="0" w:lastRowFirstColumn="0" w:lastRowLastColumn="0"/>
            </w:pPr>
            <w:r w:rsidRPr="00843885">
              <w:t xml:space="preserve">a significant number of </w:t>
            </w:r>
            <w:r w:rsidRPr="00474D1A">
              <w:t>hardship applications occur due to customers being outside of the target market of the product (i.e. over 10% of all hardship applications)</w:t>
            </w:r>
            <w:r w:rsidR="0041286D">
              <w:t>.</w:t>
            </w:r>
          </w:p>
          <w:p w14:paraId="0F4298AC" w14:textId="2488A009" w:rsidR="0087068C" w:rsidRPr="00011500" w:rsidRDefault="0087068C" w:rsidP="0087068C">
            <w:pPr>
              <w:pStyle w:val="ListParagraph"/>
              <w:numPr>
                <w:ilvl w:val="0"/>
                <w:numId w:val="29"/>
              </w:numPr>
              <w:spacing w:before="0" w:after="0"/>
              <w:cnfStyle w:val="000000100000" w:firstRow="0" w:lastRow="0" w:firstColumn="0" w:lastColumn="0" w:oddVBand="0" w:evenVBand="0" w:oddHBand="1" w:evenHBand="0" w:firstRowFirstColumn="0" w:firstRowLastColumn="0" w:lastRowFirstColumn="0" w:lastRowLastColumn="0"/>
            </w:pPr>
            <w:r>
              <w:t xml:space="preserve">a </w:t>
            </w:r>
            <w:r w:rsidRPr="00011500">
              <w:t xml:space="preserve">material </w:t>
            </w:r>
            <w:proofErr w:type="gramStart"/>
            <w:r w:rsidRPr="00011500">
              <w:t>chang</w:t>
            </w:r>
            <w:r>
              <w:t>e</w:t>
            </w:r>
            <w:proofErr w:type="gramEnd"/>
            <w:r w:rsidRPr="00011500">
              <w:t xml:space="preserve"> to the product</w:t>
            </w:r>
            <w:r>
              <w:t xml:space="preserve"> or the terms and conditions of the product or the distribution of the product occurs, which would cause this Target Market Determination to no longer be appropriate</w:t>
            </w:r>
            <w:r w:rsidR="0041286D">
              <w:t>.</w:t>
            </w:r>
          </w:p>
          <w:p w14:paraId="63B837E7" w14:textId="3A9472FD" w:rsidR="0087068C" w:rsidRPr="00011500" w:rsidRDefault="0087068C" w:rsidP="00474D1A">
            <w:pPr>
              <w:pStyle w:val="ListParagraph"/>
              <w:numPr>
                <w:ilvl w:val="0"/>
                <w:numId w:val="29"/>
              </w:numPr>
              <w:spacing w:before="240"/>
              <w:cnfStyle w:val="000000100000" w:firstRow="0" w:lastRow="0" w:firstColumn="0" w:lastColumn="0" w:oddVBand="0" w:evenVBand="0" w:oddHBand="1" w:evenHBand="0" w:firstRowFirstColumn="0" w:firstRowLastColumn="0" w:lastRowFirstColumn="0" w:lastRowLastColumn="0"/>
            </w:pPr>
            <w:r>
              <w:t xml:space="preserve">there are </w:t>
            </w:r>
            <w:r w:rsidRPr="00011500">
              <w:t xml:space="preserve">changes in law or its application, relevant industry codes, AFCA determinations, </w:t>
            </w:r>
            <w:r>
              <w:t>C</w:t>
            </w:r>
            <w:r w:rsidRPr="00011500">
              <w:t>ourt decisions or regulatory guidance</w:t>
            </w:r>
            <w:r>
              <w:t>.</w:t>
            </w:r>
          </w:p>
        </w:tc>
      </w:tr>
      <w:tr w:rsidR="003F6E7F" w:rsidRPr="000E24FB" w14:paraId="6DC4050B" w14:textId="14398708" w:rsidTr="0084284E">
        <w:trPr>
          <w:trHeight w:val="504"/>
        </w:trPr>
        <w:tc>
          <w:tcPr>
            <w:cnfStyle w:val="001000000000" w:firstRow="0" w:lastRow="0" w:firstColumn="1" w:lastColumn="0" w:oddVBand="0" w:evenVBand="0" w:oddHBand="0" w:evenHBand="0" w:firstRowFirstColumn="0" w:firstRowLastColumn="0" w:lastRowFirstColumn="0" w:lastRowLastColumn="0"/>
            <w:tcW w:w="449" w:type="dxa"/>
          </w:tcPr>
          <w:p w14:paraId="5E081A5C" w14:textId="15882809" w:rsidR="003F6E7F" w:rsidRPr="00011500" w:rsidRDefault="003F6E7F" w:rsidP="00011500">
            <w:pPr>
              <w:pStyle w:val="Tabletext"/>
            </w:pPr>
            <w:r>
              <w:t>9</w:t>
            </w:r>
          </w:p>
        </w:tc>
        <w:tc>
          <w:tcPr>
            <w:tcW w:w="2614" w:type="dxa"/>
          </w:tcPr>
          <w:p w14:paraId="77E82A76" w14:textId="0986A7ED" w:rsidR="003F6E7F" w:rsidRPr="00474D1A" w:rsidRDefault="003F6E7F" w:rsidP="00CB0A26">
            <w:pPr>
              <w:pStyle w:val="Tabletext"/>
              <w:cnfStyle w:val="000000000000" w:firstRow="0" w:lastRow="0" w:firstColumn="0" w:lastColumn="0" w:oddVBand="0" w:evenVBand="0" w:oddHBand="0" w:evenHBand="0" w:firstRowFirstColumn="0" w:firstRowLastColumn="0" w:lastRowFirstColumn="0" w:lastRowLastColumn="0"/>
              <w:rPr>
                <w:b/>
                <w:bCs/>
              </w:rPr>
            </w:pPr>
            <w:r w:rsidRPr="00474D1A">
              <w:rPr>
                <w:b/>
                <w:bCs/>
              </w:rPr>
              <w:t>Review Periods</w:t>
            </w:r>
          </w:p>
        </w:tc>
        <w:tc>
          <w:tcPr>
            <w:tcW w:w="10687" w:type="dxa"/>
            <w:gridSpan w:val="2"/>
          </w:tcPr>
          <w:p w14:paraId="54344F29" w14:textId="3FF37189" w:rsidR="003F6E7F" w:rsidRPr="002C2638" w:rsidRDefault="003F6E7F" w:rsidP="006E6FA5">
            <w:pPr>
              <w:pStyle w:val="Tabletext"/>
              <w:cnfStyle w:val="000000000000" w:firstRow="0" w:lastRow="0" w:firstColumn="0" w:lastColumn="0" w:oddVBand="0" w:evenVBand="0" w:oddHBand="0" w:evenHBand="0" w:firstRowFirstColumn="0" w:firstRowLastColumn="0" w:lastRowFirstColumn="0" w:lastRowLastColumn="0"/>
              <w:rPr>
                <w:bCs/>
              </w:rPr>
            </w:pPr>
            <w:r w:rsidRPr="002C2638">
              <w:rPr>
                <w:bCs/>
              </w:rPr>
              <w:t xml:space="preserve">Periodic reviews: </w:t>
            </w:r>
            <w:r>
              <w:rPr>
                <w:bCs/>
              </w:rPr>
              <w:t xml:space="preserve">to be completed </w:t>
            </w:r>
            <w:r w:rsidRPr="002C2638">
              <w:rPr>
                <w:bCs/>
              </w:rPr>
              <w:t xml:space="preserve">no later than </w:t>
            </w:r>
            <w:r w:rsidR="0087068C">
              <w:rPr>
                <w:bCs/>
              </w:rPr>
              <w:t>24</w:t>
            </w:r>
            <w:r w:rsidR="0087068C" w:rsidRPr="002C2638">
              <w:rPr>
                <w:bCs/>
              </w:rPr>
              <w:t xml:space="preserve"> </w:t>
            </w:r>
            <w:r w:rsidRPr="002C2638">
              <w:rPr>
                <w:bCs/>
              </w:rPr>
              <w:t xml:space="preserve">months </w:t>
            </w:r>
            <w:r>
              <w:rPr>
                <w:bCs/>
              </w:rPr>
              <w:t>from the date of the previous review</w:t>
            </w:r>
            <w:r w:rsidRPr="002C2638">
              <w:rPr>
                <w:bCs/>
              </w:rPr>
              <w:t>.</w:t>
            </w:r>
          </w:p>
          <w:p w14:paraId="7923CEDE" w14:textId="7C705490" w:rsidR="003F6E7F" w:rsidRPr="000E24FB" w:rsidRDefault="003F6E7F" w:rsidP="0020773C">
            <w:pPr>
              <w:pStyle w:val="Tabletext"/>
              <w:cnfStyle w:val="000000000000" w:firstRow="0" w:lastRow="0" w:firstColumn="0" w:lastColumn="0" w:oddVBand="0" w:evenVBand="0" w:oddHBand="0" w:evenHBand="0" w:firstRowFirstColumn="0" w:firstRowLastColumn="0" w:lastRowFirstColumn="0" w:lastRowLastColumn="0"/>
            </w:pPr>
            <w:r>
              <w:rPr>
                <w:bCs/>
              </w:rPr>
              <w:t>R</w:t>
            </w:r>
            <w:r w:rsidRPr="002C2638">
              <w:rPr>
                <w:bCs/>
              </w:rPr>
              <w:t>eview</w:t>
            </w:r>
            <w:r>
              <w:rPr>
                <w:bCs/>
              </w:rPr>
              <w:t xml:space="preserve"> triggers</w:t>
            </w:r>
            <w:r w:rsidRPr="002C2638">
              <w:rPr>
                <w:bCs/>
              </w:rPr>
              <w:t xml:space="preserve">: </w:t>
            </w:r>
            <w:r>
              <w:rPr>
                <w:bCs/>
              </w:rPr>
              <w:t>to be completed</w:t>
            </w:r>
            <w:r w:rsidRPr="002C2638">
              <w:rPr>
                <w:bCs/>
              </w:rPr>
              <w:t xml:space="preserve"> within 10 business days of a review trigger occurring that reasonable suggests that the TMD is no longer appropriate</w:t>
            </w:r>
            <w:r>
              <w:rPr>
                <w:bCs/>
              </w:rPr>
              <w:t>.</w:t>
            </w:r>
          </w:p>
        </w:tc>
      </w:tr>
      <w:tr w:rsidR="003F6E7F" w:rsidRPr="000E24FB" w14:paraId="724D2083" w14:textId="123DA7CA" w:rsidTr="0084284E">
        <w:trPr>
          <w:cnfStyle w:val="000000100000" w:firstRow="0" w:lastRow="0" w:firstColumn="0" w:lastColumn="0" w:oddVBand="0" w:evenVBand="0" w:oddHBand="1" w:evenHBand="0" w:firstRowFirstColumn="0" w:firstRowLastColumn="0" w:lastRowFirstColumn="0" w:lastRowLastColumn="0"/>
          <w:cantSplit/>
          <w:trHeight w:val="504"/>
        </w:trPr>
        <w:tc>
          <w:tcPr>
            <w:cnfStyle w:val="001000000000" w:firstRow="0" w:lastRow="0" w:firstColumn="1" w:lastColumn="0" w:oddVBand="0" w:evenVBand="0" w:oddHBand="0" w:evenHBand="0" w:firstRowFirstColumn="0" w:firstRowLastColumn="0" w:lastRowFirstColumn="0" w:lastRowLastColumn="0"/>
            <w:tcW w:w="449" w:type="dxa"/>
          </w:tcPr>
          <w:p w14:paraId="50DB2B41" w14:textId="281FB219" w:rsidR="003F6E7F" w:rsidRPr="00011500" w:rsidRDefault="003F6E7F" w:rsidP="00011500">
            <w:pPr>
              <w:pStyle w:val="Tabletext"/>
            </w:pPr>
            <w:r w:rsidRPr="00011500">
              <w:lastRenderedPageBreak/>
              <w:t>1</w:t>
            </w:r>
            <w:r>
              <w:t>0</w:t>
            </w:r>
          </w:p>
        </w:tc>
        <w:tc>
          <w:tcPr>
            <w:tcW w:w="2614" w:type="dxa"/>
          </w:tcPr>
          <w:p w14:paraId="031731F6" w14:textId="07424C2B" w:rsidR="003F6E7F" w:rsidRPr="00474D1A" w:rsidRDefault="003F6E7F">
            <w:pPr>
              <w:pStyle w:val="Tabletext"/>
              <w:cnfStyle w:val="000000100000" w:firstRow="0" w:lastRow="0" w:firstColumn="0" w:lastColumn="0" w:oddVBand="0" w:evenVBand="0" w:oddHBand="1" w:evenHBand="0" w:firstRowFirstColumn="0" w:firstRowLastColumn="0" w:lastRowFirstColumn="0" w:lastRowLastColumn="0"/>
              <w:rPr>
                <w:b/>
                <w:bCs/>
              </w:rPr>
            </w:pPr>
            <w:r w:rsidRPr="00474D1A">
              <w:rPr>
                <w:b/>
                <w:bCs/>
              </w:rPr>
              <w:t xml:space="preserve">Distribution Information Reporting Requirements  </w:t>
            </w:r>
          </w:p>
        </w:tc>
        <w:tc>
          <w:tcPr>
            <w:tcW w:w="10687" w:type="dxa"/>
            <w:gridSpan w:val="2"/>
          </w:tcPr>
          <w:p w14:paraId="221CE735" w14:textId="352B6040" w:rsidR="003F6E7F" w:rsidRDefault="003F6E7F" w:rsidP="00CB0A26">
            <w:pPr>
              <w:pStyle w:val="Tabletext"/>
              <w:cnfStyle w:val="000000100000" w:firstRow="0" w:lastRow="0" w:firstColumn="0" w:lastColumn="0" w:oddVBand="0" w:evenVBand="0" w:oddHBand="1" w:evenHBand="0" w:firstRowFirstColumn="0" w:firstRowLastColumn="0" w:lastRowFirstColumn="0" w:lastRowLastColumn="0"/>
            </w:pPr>
            <w:r w:rsidRPr="0014750C">
              <w:t xml:space="preserve">The following information must be provided to </w:t>
            </w:r>
            <w:r>
              <w:t xml:space="preserve">us through our complaints management team </w:t>
            </w:r>
            <w:r w:rsidRPr="0014750C">
              <w:t>by distributors who engage in retail product distribution conduct in relation to this product:</w:t>
            </w:r>
          </w:p>
          <w:tbl>
            <w:tblPr>
              <w:tblStyle w:val="TableGrid"/>
              <w:tblW w:w="0" w:type="auto"/>
              <w:tblLook w:val="04A0" w:firstRow="1" w:lastRow="0" w:firstColumn="1" w:lastColumn="0" w:noHBand="0" w:noVBand="1"/>
            </w:tblPr>
            <w:tblGrid>
              <w:gridCol w:w="2359"/>
              <w:gridCol w:w="3704"/>
              <w:gridCol w:w="2801"/>
            </w:tblGrid>
            <w:tr w:rsidR="00427747" w14:paraId="15CDD3DF" w14:textId="77777777" w:rsidTr="000C1C0D">
              <w:trPr>
                <w:trHeight w:val="561"/>
              </w:trPr>
              <w:tc>
                <w:tcPr>
                  <w:tcW w:w="2359" w:type="dxa"/>
                  <w:shd w:val="clear" w:color="auto" w:fill="0066E0" w:themeFill="accent5"/>
                  <w:vAlign w:val="center"/>
                </w:tcPr>
                <w:p w14:paraId="55C04FF5" w14:textId="77777777" w:rsidR="00427747" w:rsidRPr="00474D1A" w:rsidRDefault="00427747" w:rsidP="00474D1A">
                  <w:pPr>
                    <w:spacing w:before="0"/>
                    <w:rPr>
                      <w:b/>
                      <w:bCs/>
                      <w:color w:val="FFFFFF" w:themeColor="background1"/>
                    </w:rPr>
                  </w:pPr>
                  <w:r w:rsidRPr="00474D1A">
                    <w:rPr>
                      <w:b/>
                      <w:bCs/>
                      <w:color w:val="FFFFFF" w:themeColor="background1"/>
                    </w:rPr>
                    <w:t>Type of information</w:t>
                  </w:r>
                </w:p>
              </w:tc>
              <w:tc>
                <w:tcPr>
                  <w:tcW w:w="3704" w:type="dxa"/>
                  <w:shd w:val="clear" w:color="auto" w:fill="0066E0" w:themeFill="accent5"/>
                  <w:vAlign w:val="center"/>
                </w:tcPr>
                <w:p w14:paraId="4DC8597F" w14:textId="77777777" w:rsidR="00427747" w:rsidRPr="00474D1A" w:rsidRDefault="00427747" w:rsidP="00474D1A">
                  <w:pPr>
                    <w:spacing w:before="0"/>
                    <w:rPr>
                      <w:b/>
                      <w:bCs/>
                      <w:color w:val="FFFFFF" w:themeColor="background1"/>
                    </w:rPr>
                  </w:pPr>
                  <w:r w:rsidRPr="00474D1A">
                    <w:rPr>
                      <w:b/>
                      <w:bCs/>
                      <w:color w:val="FFFFFF" w:themeColor="background1"/>
                    </w:rPr>
                    <w:t>Description</w:t>
                  </w:r>
                </w:p>
              </w:tc>
              <w:tc>
                <w:tcPr>
                  <w:tcW w:w="2801" w:type="dxa"/>
                  <w:shd w:val="clear" w:color="auto" w:fill="0066E0" w:themeFill="accent5"/>
                  <w:vAlign w:val="center"/>
                </w:tcPr>
                <w:p w14:paraId="1A1E41C5" w14:textId="77777777" w:rsidR="00427747" w:rsidRPr="00474D1A" w:rsidRDefault="00427747" w:rsidP="00474D1A">
                  <w:pPr>
                    <w:spacing w:before="0"/>
                    <w:rPr>
                      <w:color w:val="FFFFFF" w:themeColor="background1"/>
                    </w:rPr>
                  </w:pPr>
                  <w:r w:rsidRPr="00474D1A">
                    <w:rPr>
                      <w:b/>
                      <w:bCs/>
                      <w:color w:val="FFFFFF" w:themeColor="background1"/>
                    </w:rPr>
                    <w:t>Reporting period</w:t>
                  </w:r>
                </w:p>
              </w:tc>
            </w:tr>
            <w:tr w:rsidR="00427747" w14:paraId="11331AD8" w14:textId="77777777" w:rsidTr="00474D1A">
              <w:trPr>
                <w:trHeight w:val="1547"/>
              </w:trPr>
              <w:tc>
                <w:tcPr>
                  <w:tcW w:w="2359" w:type="dxa"/>
                  <w:vAlign w:val="center"/>
                </w:tcPr>
                <w:p w14:paraId="1445D96C" w14:textId="77777777" w:rsidR="00427747" w:rsidRDefault="00427747" w:rsidP="00474D1A">
                  <w:pPr>
                    <w:spacing w:before="0"/>
                  </w:pPr>
                  <w:r w:rsidRPr="00A32837">
                    <w:t>Specific Complaints</w:t>
                  </w:r>
                </w:p>
              </w:tc>
              <w:tc>
                <w:tcPr>
                  <w:tcW w:w="3704" w:type="dxa"/>
                  <w:vAlign w:val="center"/>
                </w:tcPr>
                <w:p w14:paraId="21D6EBF0" w14:textId="30F1666B" w:rsidR="00427747" w:rsidRDefault="00427747" w:rsidP="00474D1A">
                  <w:pPr>
                    <w:spacing w:before="0"/>
                  </w:pPr>
                  <w:r>
                    <w:t>D</w:t>
                  </w:r>
                  <w:r w:rsidRPr="00A32837">
                    <w:t>etails of the complaint, including name and contact details of complainant and substance of the complaint.</w:t>
                  </w:r>
                </w:p>
              </w:tc>
              <w:tc>
                <w:tcPr>
                  <w:tcW w:w="2801" w:type="dxa"/>
                  <w:vAlign w:val="center"/>
                </w:tcPr>
                <w:p w14:paraId="48FF9CE7" w14:textId="497687D4" w:rsidR="00427747" w:rsidRDefault="00427747" w:rsidP="00474D1A">
                  <w:pPr>
                    <w:spacing w:before="0"/>
                  </w:pPr>
                  <w:r w:rsidRPr="00A32837">
                    <w:t xml:space="preserve">As </w:t>
                  </w:r>
                  <w:r>
                    <w:t>soon as practicable and within 10</w:t>
                  </w:r>
                  <w:r w:rsidRPr="00A32837">
                    <w:t xml:space="preserve"> business days of receipt of complaint. </w:t>
                  </w:r>
                </w:p>
              </w:tc>
            </w:tr>
            <w:tr w:rsidR="00427747" w14:paraId="1CD64186" w14:textId="77777777" w:rsidTr="00474D1A">
              <w:trPr>
                <w:trHeight w:val="545"/>
              </w:trPr>
              <w:tc>
                <w:tcPr>
                  <w:tcW w:w="2359" w:type="dxa"/>
                  <w:vAlign w:val="center"/>
                </w:tcPr>
                <w:p w14:paraId="70998A89" w14:textId="77777777" w:rsidR="00427747" w:rsidRDefault="00427747" w:rsidP="00474D1A">
                  <w:pPr>
                    <w:spacing w:before="0"/>
                  </w:pPr>
                  <w:r>
                    <w:t>Complaints</w:t>
                  </w:r>
                </w:p>
              </w:tc>
              <w:tc>
                <w:tcPr>
                  <w:tcW w:w="3704" w:type="dxa"/>
                  <w:vAlign w:val="center"/>
                </w:tcPr>
                <w:p w14:paraId="4D64A134" w14:textId="77777777" w:rsidR="00427747" w:rsidRDefault="00427747" w:rsidP="00474D1A">
                  <w:pPr>
                    <w:spacing w:before="0"/>
                  </w:pPr>
                  <w:r>
                    <w:t>Number of complaints</w:t>
                  </w:r>
                </w:p>
              </w:tc>
              <w:tc>
                <w:tcPr>
                  <w:tcW w:w="2801" w:type="dxa"/>
                  <w:vAlign w:val="center"/>
                </w:tcPr>
                <w:p w14:paraId="32F930EA" w14:textId="5A582C55" w:rsidR="00427747" w:rsidRPr="00BB0794" w:rsidRDefault="00427747" w:rsidP="00474D1A">
                  <w:pPr>
                    <w:spacing w:before="0"/>
                  </w:pPr>
                  <w:r>
                    <w:t>Every 3 months</w:t>
                  </w:r>
                </w:p>
              </w:tc>
            </w:tr>
            <w:tr w:rsidR="00427747" w14:paraId="3BFF1586" w14:textId="77777777" w:rsidTr="00474D1A">
              <w:trPr>
                <w:trHeight w:val="1705"/>
              </w:trPr>
              <w:tc>
                <w:tcPr>
                  <w:tcW w:w="2359" w:type="dxa"/>
                  <w:vAlign w:val="center"/>
                </w:tcPr>
                <w:p w14:paraId="629C7437" w14:textId="77777777" w:rsidR="00427747" w:rsidRDefault="00427747" w:rsidP="00474D1A">
                  <w:pPr>
                    <w:spacing w:before="0"/>
                  </w:pPr>
                  <w:r>
                    <w:t>Significant dealing(s)</w:t>
                  </w:r>
                </w:p>
              </w:tc>
              <w:tc>
                <w:tcPr>
                  <w:tcW w:w="3704" w:type="dxa"/>
                  <w:vAlign w:val="center"/>
                </w:tcPr>
                <w:p w14:paraId="0F6FA54F" w14:textId="6BB7BC4C" w:rsidR="00427747" w:rsidRPr="0098321B" w:rsidRDefault="00427747" w:rsidP="00474D1A">
                  <w:pPr>
                    <w:spacing w:before="0"/>
                  </w:pPr>
                  <w:r>
                    <w:t>Date or date range of the significant dealing(s) and description of the significant dealing (</w:t>
                  </w:r>
                  <w:proofErr w:type="spellStart"/>
                  <w:r>
                    <w:t>eg</w:t>
                  </w:r>
                  <w:proofErr w:type="spellEnd"/>
                  <w:r>
                    <w:t>, why it is not consistent with the TMD)</w:t>
                  </w:r>
                </w:p>
              </w:tc>
              <w:tc>
                <w:tcPr>
                  <w:tcW w:w="2801" w:type="dxa"/>
                  <w:vAlign w:val="center"/>
                </w:tcPr>
                <w:p w14:paraId="49256E23" w14:textId="77777777" w:rsidR="00427747" w:rsidRDefault="00427747" w:rsidP="00474D1A">
                  <w:pPr>
                    <w:spacing w:before="0"/>
                  </w:pPr>
                  <w:r>
                    <w:t>As soon as practicable, and in any case within 10 business days after becoming aware</w:t>
                  </w:r>
                </w:p>
              </w:tc>
            </w:tr>
          </w:tbl>
          <w:p w14:paraId="2BE45993" w14:textId="41BD3253" w:rsidR="00427747" w:rsidRPr="000E24FB" w:rsidRDefault="00427747" w:rsidP="003B2618">
            <w:pPr>
              <w:pStyle w:val="Tabletext"/>
              <w:cnfStyle w:val="000000100000" w:firstRow="0" w:lastRow="0" w:firstColumn="0" w:lastColumn="0" w:oddVBand="0" w:evenVBand="0" w:oddHBand="1" w:evenHBand="0" w:firstRowFirstColumn="0" w:firstRowLastColumn="0" w:lastRowFirstColumn="0" w:lastRowLastColumn="0"/>
            </w:pPr>
          </w:p>
        </w:tc>
      </w:tr>
    </w:tbl>
    <w:p w14:paraId="660D814A" w14:textId="77777777" w:rsidR="00D04240" w:rsidRPr="00425C5B" w:rsidRDefault="00736233" w:rsidP="00736233">
      <w:pPr>
        <w:tabs>
          <w:tab w:val="left" w:pos="7676"/>
        </w:tabs>
        <w:rPr>
          <w:sz w:val="16"/>
          <w:szCs w:val="18"/>
        </w:rPr>
      </w:pPr>
      <w:r>
        <w:tab/>
      </w:r>
    </w:p>
    <w:sectPr w:rsidR="00D04240" w:rsidRPr="00425C5B" w:rsidSect="00A358BF">
      <w:headerReference w:type="default" r:id="rId13"/>
      <w:footerReference w:type="default" r:id="rId14"/>
      <w:headerReference w:type="first" r:id="rId15"/>
      <w:footerReference w:type="first" r:id="rId16"/>
      <w:pgSz w:w="16838" w:h="11906" w:orient="landscape"/>
      <w:pgMar w:top="1134" w:right="1812" w:bottom="1134" w:left="1134" w:header="737" w:footer="6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3C429" w14:textId="77777777" w:rsidR="0050314A" w:rsidRDefault="0050314A" w:rsidP="00EC594E">
      <w:pPr>
        <w:spacing w:line="240" w:lineRule="auto"/>
      </w:pPr>
      <w:r>
        <w:separator/>
      </w:r>
    </w:p>
  </w:endnote>
  <w:endnote w:type="continuationSeparator" w:id="0">
    <w:p w14:paraId="7ED4B2C6" w14:textId="77777777" w:rsidR="0050314A" w:rsidRDefault="0050314A" w:rsidP="00EC594E">
      <w:pPr>
        <w:spacing w:line="240" w:lineRule="auto"/>
      </w:pPr>
      <w:r>
        <w:continuationSeparator/>
      </w:r>
    </w:p>
  </w:endnote>
  <w:endnote w:type="continuationNotice" w:id="1">
    <w:p w14:paraId="39112D46" w14:textId="77777777" w:rsidR="0050314A" w:rsidRDefault="0050314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altName w:val="メイリオ"/>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sidora Sans">
    <w:altName w:val="Courier New"/>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591EB" w14:textId="04595D66" w:rsidR="000A6C3A" w:rsidRDefault="00511C4D" w:rsidP="00736233">
    <w:pPr>
      <w:spacing w:before="0"/>
      <w:jc w:val="right"/>
      <w:rPr>
        <w:noProof/>
      </w:rPr>
    </w:pPr>
    <w:r w:rsidRPr="00926F24">
      <w:rPr>
        <w:rFonts w:cstheme="minorHAnsi"/>
        <w:b/>
        <w:bCs/>
        <w:noProof/>
        <w:szCs w:val="16"/>
      </w:rPr>
      <w:drawing>
        <wp:anchor distT="0" distB="0" distL="114300" distR="114300" simplePos="0" relativeHeight="251658244" behindDoc="0" locked="0" layoutInCell="1" allowOverlap="1" wp14:anchorId="7360D470" wp14:editId="710C473D">
          <wp:simplePos x="0" y="0"/>
          <wp:positionH relativeFrom="margin">
            <wp:align>left</wp:align>
          </wp:positionH>
          <wp:positionV relativeFrom="paragraph">
            <wp:posOffset>8627</wp:posOffset>
          </wp:positionV>
          <wp:extent cx="2651125" cy="229870"/>
          <wp:effectExtent l="0" t="0" r="0" b="0"/>
          <wp:wrapNone/>
          <wp:docPr id="843712191" name="Picture 84371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1125" cy="229870"/>
                  </a:xfrm>
                  <a:prstGeom prst="rect">
                    <a:avLst/>
                  </a:prstGeom>
                </pic:spPr>
              </pic:pic>
            </a:graphicData>
          </a:graphic>
          <wp14:sizeRelH relativeFrom="margin">
            <wp14:pctWidth>0</wp14:pctWidth>
          </wp14:sizeRelH>
          <wp14:sizeRelV relativeFrom="margin">
            <wp14:pctHeight>0</wp14:pctHeight>
          </wp14:sizeRelV>
        </wp:anchor>
      </w:drawing>
    </w:r>
    <w:r w:rsidR="004A127A" w:rsidRPr="00011500">
      <w:rPr>
        <w:noProof/>
        <w:highlight w:val="yellow"/>
      </w:rPr>
      <w:drawing>
        <wp:anchor distT="0" distB="0" distL="114300" distR="114300" simplePos="0" relativeHeight="251658241" behindDoc="1" locked="1" layoutInCell="1" allowOverlap="0" wp14:anchorId="4D8A2B32" wp14:editId="48A7F01C">
          <wp:simplePos x="0" y="0"/>
          <wp:positionH relativeFrom="page">
            <wp:posOffset>720090</wp:posOffset>
          </wp:positionH>
          <wp:positionV relativeFrom="page">
            <wp:posOffset>9844405</wp:posOffset>
          </wp:positionV>
          <wp:extent cx="2179320" cy="191770"/>
          <wp:effectExtent l="0" t="0" r="0" b="0"/>
          <wp:wrapSquare wrapText="bothSides"/>
          <wp:docPr id="1208642264" name="Picture 120864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_Follow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79320" cy="191770"/>
                  </a:xfrm>
                  <a:prstGeom prst="rect">
                    <a:avLst/>
                  </a:prstGeom>
                </pic:spPr>
              </pic:pic>
            </a:graphicData>
          </a:graphic>
          <wp14:sizeRelH relativeFrom="margin">
            <wp14:pctWidth>0</wp14:pctWidth>
          </wp14:sizeRelH>
          <wp14:sizeRelV relativeFrom="margin">
            <wp14:pctHeight>0</wp14:pctHeight>
          </wp14:sizeRelV>
        </wp:anchor>
      </w:drawing>
    </w:r>
    <w:r w:rsidR="00067D8B">
      <w:t xml:space="preserve">July </w:t>
    </w:r>
    <w:r w:rsidR="00B452AB">
      <w:t>2025</w:t>
    </w:r>
    <w:r w:rsidR="00011500">
      <w:t xml:space="preserve">     </w:t>
    </w:r>
    <w:sdt>
      <w:sdtPr>
        <w:id w:val="-1052849994"/>
        <w:docPartObj>
          <w:docPartGallery w:val="Page Numbers (Bottom of Page)"/>
          <w:docPartUnique/>
        </w:docPartObj>
      </w:sdtPr>
      <w:sdtEndPr>
        <w:rPr>
          <w:noProof/>
        </w:rPr>
      </w:sdtEndPr>
      <w:sdtContent>
        <w:r w:rsidR="000029FD">
          <w:fldChar w:fldCharType="begin"/>
        </w:r>
        <w:r w:rsidR="000029FD">
          <w:instrText xml:space="preserve"> PAGE   \* MERGEFORMAT </w:instrText>
        </w:r>
        <w:r w:rsidR="000029FD">
          <w:fldChar w:fldCharType="separate"/>
        </w:r>
        <w:r w:rsidR="00CD40A8">
          <w:rPr>
            <w:noProof/>
          </w:rPr>
          <w:t>5</w:t>
        </w:r>
        <w:r w:rsidR="000029FD">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68635" w14:textId="3FA8B524" w:rsidR="00C864A9" w:rsidRDefault="00511C4D" w:rsidP="003F15E1">
    <w:pPr>
      <w:spacing w:before="0"/>
      <w:jc w:val="right"/>
      <w:rPr>
        <w:noProof/>
      </w:rPr>
    </w:pPr>
    <w:r w:rsidRPr="00926F24">
      <w:rPr>
        <w:rFonts w:cstheme="minorHAnsi"/>
        <w:b/>
        <w:bCs/>
        <w:noProof/>
        <w:szCs w:val="16"/>
      </w:rPr>
      <w:drawing>
        <wp:anchor distT="0" distB="0" distL="114300" distR="114300" simplePos="0" relativeHeight="251658243" behindDoc="0" locked="0" layoutInCell="1" allowOverlap="1" wp14:anchorId="4639FEB8" wp14:editId="25391699">
          <wp:simplePos x="0" y="0"/>
          <wp:positionH relativeFrom="margin">
            <wp:align>left</wp:align>
          </wp:positionH>
          <wp:positionV relativeFrom="paragraph">
            <wp:posOffset>8626</wp:posOffset>
          </wp:positionV>
          <wp:extent cx="2651125" cy="229870"/>
          <wp:effectExtent l="0" t="0" r="0" b="0"/>
          <wp:wrapNone/>
          <wp:docPr id="1088120759" name="Picture 1088120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1125" cy="229870"/>
                  </a:xfrm>
                  <a:prstGeom prst="rect">
                    <a:avLst/>
                  </a:prstGeom>
                </pic:spPr>
              </pic:pic>
            </a:graphicData>
          </a:graphic>
          <wp14:sizeRelH relativeFrom="margin">
            <wp14:pctWidth>0</wp14:pctWidth>
          </wp14:sizeRelH>
          <wp14:sizeRelV relativeFrom="margin">
            <wp14:pctHeight>0</wp14:pctHeight>
          </wp14:sizeRelV>
        </wp:anchor>
      </w:drawing>
    </w:r>
    <w:r w:rsidR="00067D8B">
      <w:t xml:space="preserve">July </w:t>
    </w:r>
    <w:r w:rsidR="00B452AB">
      <w:t>2025</w:t>
    </w:r>
    <w:r w:rsidR="00C864A9">
      <w:t xml:space="preserve">     </w:t>
    </w:r>
    <w:sdt>
      <w:sdtPr>
        <w:id w:val="-475908767"/>
        <w:docPartObj>
          <w:docPartGallery w:val="Page Numbers (Bottom of Page)"/>
          <w:docPartUnique/>
        </w:docPartObj>
      </w:sdtPr>
      <w:sdtEndPr>
        <w:rPr>
          <w:noProof/>
        </w:rPr>
      </w:sdtEndPr>
      <w:sdtContent>
        <w:r w:rsidR="00C864A9">
          <w:fldChar w:fldCharType="begin"/>
        </w:r>
        <w:r w:rsidR="00C864A9">
          <w:instrText xml:space="preserve"> PAGE   \* MERGEFORMAT </w:instrText>
        </w:r>
        <w:r w:rsidR="00C864A9">
          <w:fldChar w:fldCharType="separate"/>
        </w:r>
        <w:r w:rsidR="00C864A9">
          <w:t>2</w:t>
        </w:r>
        <w:r w:rsidR="00C864A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9014D" w14:textId="77777777" w:rsidR="0050314A" w:rsidRDefault="0050314A" w:rsidP="00EC594E">
      <w:pPr>
        <w:spacing w:line="240" w:lineRule="auto"/>
      </w:pPr>
      <w:r>
        <w:separator/>
      </w:r>
    </w:p>
  </w:footnote>
  <w:footnote w:type="continuationSeparator" w:id="0">
    <w:p w14:paraId="6FF7DF6E" w14:textId="77777777" w:rsidR="0050314A" w:rsidRDefault="0050314A" w:rsidP="00EC594E">
      <w:pPr>
        <w:spacing w:line="240" w:lineRule="auto"/>
      </w:pPr>
      <w:r>
        <w:continuationSeparator/>
      </w:r>
    </w:p>
  </w:footnote>
  <w:footnote w:type="continuationNotice" w:id="1">
    <w:p w14:paraId="1E612C38" w14:textId="77777777" w:rsidR="0050314A" w:rsidRDefault="0050314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03E5F" w14:textId="77777777" w:rsidR="00EA6E1E" w:rsidRDefault="000A6C3A" w:rsidP="00790587">
    <w:pPr>
      <w:pStyle w:val="Header"/>
      <w:ind w:left="284" w:hanging="284"/>
    </w:pPr>
    <w:r>
      <w:rPr>
        <w:noProof/>
      </w:rPr>
      <w:drawing>
        <wp:anchor distT="0" distB="0" distL="114300" distR="114300" simplePos="0" relativeHeight="251658240" behindDoc="1" locked="0" layoutInCell="1" allowOverlap="1" wp14:anchorId="440A4463" wp14:editId="58EE6AF5">
          <wp:simplePos x="0" y="0"/>
          <wp:positionH relativeFrom="page">
            <wp:posOffset>720090</wp:posOffset>
          </wp:positionH>
          <wp:positionV relativeFrom="page">
            <wp:posOffset>720090</wp:posOffset>
          </wp:positionV>
          <wp:extent cx="344160" cy="252720"/>
          <wp:effectExtent l="0" t="0" r="0" b="0"/>
          <wp:wrapTight wrapText="bothSides">
            <wp:wrapPolygon edited="0">
              <wp:start x="0" y="0"/>
              <wp:lineTo x="0" y="19587"/>
              <wp:lineTo x="20362" y="19587"/>
              <wp:lineTo x="20362" y="14690"/>
              <wp:lineTo x="16769" y="0"/>
              <wp:lineTo x="0" y="0"/>
            </wp:wrapPolygon>
          </wp:wrapTight>
          <wp:docPr id="488195455" name="Picture 488195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ystart_BrandMark_Variation03_RGB_Follower-9.6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160" cy="252720"/>
                  </a:xfrm>
                  <a:prstGeom prst="rect">
                    <a:avLst/>
                  </a:prstGeom>
                </pic:spPr>
              </pic:pic>
            </a:graphicData>
          </a:graphic>
          <wp14:sizeRelH relativeFrom="margin">
            <wp14:pctWidth>0</wp14:pctWidth>
          </wp14:sizeRelH>
          <wp14:sizeRelV relativeFrom="margin">
            <wp14:pctHeight>0</wp14:pctHeight>
          </wp14:sizeRelV>
        </wp:anchor>
      </w:drawing>
    </w:r>
  </w:p>
  <w:p w14:paraId="0B15820E" w14:textId="77777777" w:rsidR="00EA6E1E" w:rsidRDefault="00EA6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B4D87" w14:textId="02CA18AD" w:rsidR="00845F26" w:rsidRDefault="00845F26">
    <w:pPr>
      <w:pStyle w:val="Header"/>
    </w:pPr>
    <w:r>
      <w:rPr>
        <w:noProof/>
      </w:rPr>
      <w:drawing>
        <wp:anchor distT="0" distB="0" distL="114300" distR="114300" simplePos="0" relativeHeight="251658242" behindDoc="1" locked="1" layoutInCell="1" allowOverlap="1" wp14:anchorId="1E21563A" wp14:editId="31E72979">
          <wp:simplePos x="0" y="0"/>
          <wp:positionH relativeFrom="margin">
            <wp:posOffset>0</wp:posOffset>
          </wp:positionH>
          <wp:positionV relativeFrom="page">
            <wp:posOffset>452755</wp:posOffset>
          </wp:positionV>
          <wp:extent cx="1727835" cy="325755"/>
          <wp:effectExtent l="0" t="0" r="5715" b="0"/>
          <wp:wrapTight wrapText="bothSides">
            <wp:wrapPolygon edited="0">
              <wp:start x="0" y="0"/>
              <wp:lineTo x="0" y="17684"/>
              <wp:lineTo x="5239" y="20211"/>
              <wp:lineTo x="7383" y="20211"/>
              <wp:lineTo x="21433" y="17684"/>
              <wp:lineTo x="21433" y="11368"/>
              <wp:lineTo x="20004" y="0"/>
              <wp:lineTo x="0" y="0"/>
            </wp:wrapPolygon>
          </wp:wrapTight>
          <wp:docPr id="919335118" name="Picture 9193351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7835" cy="325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100C"/>
    <w:multiLevelType w:val="hybridMultilevel"/>
    <w:tmpl w:val="3C889210"/>
    <w:lvl w:ilvl="0" w:tplc="78C8EFB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17444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F22CF"/>
    <w:multiLevelType w:val="hybridMultilevel"/>
    <w:tmpl w:val="4A3C5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A06A23"/>
    <w:multiLevelType w:val="hybridMultilevel"/>
    <w:tmpl w:val="29B2E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B27360"/>
    <w:multiLevelType w:val="hybridMultilevel"/>
    <w:tmpl w:val="EB4412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C16F9A"/>
    <w:multiLevelType w:val="hybridMultilevel"/>
    <w:tmpl w:val="B266A44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D7516E"/>
    <w:multiLevelType w:val="hybridMultilevel"/>
    <w:tmpl w:val="ABC43242"/>
    <w:lvl w:ilvl="0" w:tplc="8C8ECBAC">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EE1298"/>
    <w:multiLevelType w:val="hybridMultilevel"/>
    <w:tmpl w:val="01B02B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264F92"/>
    <w:multiLevelType w:val="hybridMultilevel"/>
    <w:tmpl w:val="CABC4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A079D6"/>
    <w:multiLevelType w:val="hybridMultilevel"/>
    <w:tmpl w:val="C660F1EA"/>
    <w:lvl w:ilvl="0" w:tplc="263062FE">
      <w:start w:val="1"/>
      <w:numFmt w:val="lowerLetter"/>
      <w:lvlText w:val="%1)"/>
      <w:lvlJc w:val="left"/>
      <w:pPr>
        <w:ind w:left="1020" w:hanging="360"/>
      </w:pPr>
    </w:lvl>
    <w:lvl w:ilvl="1" w:tplc="3940BDA2">
      <w:start w:val="1"/>
      <w:numFmt w:val="lowerLetter"/>
      <w:lvlText w:val="%2)"/>
      <w:lvlJc w:val="left"/>
      <w:pPr>
        <w:ind w:left="1020" w:hanging="360"/>
      </w:pPr>
    </w:lvl>
    <w:lvl w:ilvl="2" w:tplc="714018FE">
      <w:start w:val="1"/>
      <w:numFmt w:val="lowerLetter"/>
      <w:lvlText w:val="%3)"/>
      <w:lvlJc w:val="left"/>
      <w:pPr>
        <w:ind w:left="1020" w:hanging="360"/>
      </w:pPr>
    </w:lvl>
    <w:lvl w:ilvl="3" w:tplc="1FD0BDFE">
      <w:start w:val="1"/>
      <w:numFmt w:val="lowerLetter"/>
      <w:lvlText w:val="%4)"/>
      <w:lvlJc w:val="left"/>
      <w:pPr>
        <w:ind w:left="1020" w:hanging="360"/>
      </w:pPr>
    </w:lvl>
    <w:lvl w:ilvl="4" w:tplc="350A2636">
      <w:start w:val="1"/>
      <w:numFmt w:val="lowerLetter"/>
      <w:lvlText w:val="%5)"/>
      <w:lvlJc w:val="left"/>
      <w:pPr>
        <w:ind w:left="1020" w:hanging="360"/>
      </w:pPr>
    </w:lvl>
    <w:lvl w:ilvl="5" w:tplc="52EC83FE">
      <w:start w:val="1"/>
      <w:numFmt w:val="lowerLetter"/>
      <w:lvlText w:val="%6)"/>
      <w:lvlJc w:val="left"/>
      <w:pPr>
        <w:ind w:left="1020" w:hanging="360"/>
      </w:pPr>
    </w:lvl>
    <w:lvl w:ilvl="6" w:tplc="502E78FE">
      <w:start w:val="1"/>
      <w:numFmt w:val="lowerLetter"/>
      <w:lvlText w:val="%7)"/>
      <w:lvlJc w:val="left"/>
      <w:pPr>
        <w:ind w:left="1020" w:hanging="360"/>
      </w:pPr>
    </w:lvl>
    <w:lvl w:ilvl="7" w:tplc="1638D776">
      <w:start w:val="1"/>
      <w:numFmt w:val="lowerLetter"/>
      <w:lvlText w:val="%8)"/>
      <w:lvlJc w:val="left"/>
      <w:pPr>
        <w:ind w:left="1020" w:hanging="360"/>
      </w:pPr>
    </w:lvl>
    <w:lvl w:ilvl="8" w:tplc="4574C992">
      <w:start w:val="1"/>
      <w:numFmt w:val="lowerLetter"/>
      <w:lvlText w:val="%9)"/>
      <w:lvlJc w:val="left"/>
      <w:pPr>
        <w:ind w:left="1020" w:hanging="360"/>
      </w:pPr>
    </w:lvl>
  </w:abstractNum>
  <w:abstractNum w:abstractNumId="10" w15:restartNumberingAfterBreak="0">
    <w:nsid w:val="240D43F0"/>
    <w:multiLevelType w:val="hybridMultilevel"/>
    <w:tmpl w:val="20F6D3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854B00"/>
    <w:multiLevelType w:val="hybridMultilevel"/>
    <w:tmpl w:val="18FCC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1D172F"/>
    <w:multiLevelType w:val="hybridMultilevel"/>
    <w:tmpl w:val="5BD8F4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723218"/>
    <w:multiLevelType w:val="hybridMultilevel"/>
    <w:tmpl w:val="58726D00"/>
    <w:lvl w:ilvl="0" w:tplc="AC8014C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0782735"/>
    <w:multiLevelType w:val="hybridMultilevel"/>
    <w:tmpl w:val="8E0CD2A8"/>
    <w:lvl w:ilvl="0" w:tplc="0ED45BFE">
      <w:start w:val="1"/>
      <w:numFmt w:val="lowerLetter"/>
      <w:lvlText w:val="%1)"/>
      <w:lvlJc w:val="left"/>
      <w:pPr>
        <w:ind w:left="1020" w:hanging="360"/>
      </w:pPr>
    </w:lvl>
    <w:lvl w:ilvl="1" w:tplc="7A5A5890">
      <w:start w:val="1"/>
      <w:numFmt w:val="lowerLetter"/>
      <w:lvlText w:val="%2)"/>
      <w:lvlJc w:val="left"/>
      <w:pPr>
        <w:ind w:left="1020" w:hanging="360"/>
      </w:pPr>
    </w:lvl>
    <w:lvl w:ilvl="2" w:tplc="E6480F76">
      <w:start w:val="1"/>
      <w:numFmt w:val="lowerLetter"/>
      <w:lvlText w:val="%3)"/>
      <w:lvlJc w:val="left"/>
      <w:pPr>
        <w:ind w:left="1020" w:hanging="360"/>
      </w:pPr>
    </w:lvl>
    <w:lvl w:ilvl="3" w:tplc="6DF86158">
      <w:start w:val="1"/>
      <w:numFmt w:val="lowerLetter"/>
      <w:lvlText w:val="%4)"/>
      <w:lvlJc w:val="left"/>
      <w:pPr>
        <w:ind w:left="1020" w:hanging="360"/>
      </w:pPr>
    </w:lvl>
    <w:lvl w:ilvl="4" w:tplc="F8C4124C">
      <w:start w:val="1"/>
      <w:numFmt w:val="lowerLetter"/>
      <w:lvlText w:val="%5)"/>
      <w:lvlJc w:val="left"/>
      <w:pPr>
        <w:ind w:left="1020" w:hanging="360"/>
      </w:pPr>
    </w:lvl>
    <w:lvl w:ilvl="5" w:tplc="68A03182">
      <w:start w:val="1"/>
      <w:numFmt w:val="lowerLetter"/>
      <w:lvlText w:val="%6)"/>
      <w:lvlJc w:val="left"/>
      <w:pPr>
        <w:ind w:left="1020" w:hanging="360"/>
      </w:pPr>
    </w:lvl>
    <w:lvl w:ilvl="6" w:tplc="BD32C2FA">
      <w:start w:val="1"/>
      <w:numFmt w:val="lowerLetter"/>
      <w:lvlText w:val="%7)"/>
      <w:lvlJc w:val="left"/>
      <w:pPr>
        <w:ind w:left="1020" w:hanging="360"/>
      </w:pPr>
    </w:lvl>
    <w:lvl w:ilvl="7" w:tplc="994209D0">
      <w:start w:val="1"/>
      <w:numFmt w:val="lowerLetter"/>
      <w:lvlText w:val="%8)"/>
      <w:lvlJc w:val="left"/>
      <w:pPr>
        <w:ind w:left="1020" w:hanging="360"/>
      </w:pPr>
    </w:lvl>
    <w:lvl w:ilvl="8" w:tplc="D7020C5A">
      <w:start w:val="1"/>
      <w:numFmt w:val="lowerLetter"/>
      <w:lvlText w:val="%9)"/>
      <w:lvlJc w:val="left"/>
      <w:pPr>
        <w:ind w:left="1020" w:hanging="360"/>
      </w:pPr>
    </w:lvl>
  </w:abstractNum>
  <w:abstractNum w:abstractNumId="15" w15:restartNumberingAfterBreak="0">
    <w:nsid w:val="37FA3A73"/>
    <w:multiLevelType w:val="hybridMultilevel"/>
    <w:tmpl w:val="37B2F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E5649E"/>
    <w:multiLevelType w:val="hybridMultilevel"/>
    <w:tmpl w:val="B43A8AFC"/>
    <w:lvl w:ilvl="0" w:tplc="641C0D0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CCC2B0E"/>
    <w:multiLevelType w:val="hybridMultilevel"/>
    <w:tmpl w:val="D4100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F32291"/>
    <w:multiLevelType w:val="hybridMultilevel"/>
    <w:tmpl w:val="24D8FC72"/>
    <w:lvl w:ilvl="0" w:tplc="4AB8F136">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073AAD"/>
    <w:multiLevelType w:val="hybridMultilevel"/>
    <w:tmpl w:val="843A231A"/>
    <w:lvl w:ilvl="0" w:tplc="E5906A5A">
      <w:start w:val="1"/>
      <w:numFmt w:val="lowerLetter"/>
      <w:lvlText w:val="%1)"/>
      <w:lvlJc w:val="left"/>
      <w:pPr>
        <w:ind w:left="720" w:hanging="360"/>
      </w:pPr>
    </w:lvl>
    <w:lvl w:ilvl="1" w:tplc="8E861756">
      <w:start w:val="1"/>
      <w:numFmt w:val="lowerLetter"/>
      <w:lvlText w:val="%2)"/>
      <w:lvlJc w:val="left"/>
      <w:pPr>
        <w:ind w:left="720" w:hanging="360"/>
      </w:pPr>
    </w:lvl>
    <w:lvl w:ilvl="2" w:tplc="C7245940">
      <w:start w:val="1"/>
      <w:numFmt w:val="lowerLetter"/>
      <w:lvlText w:val="%3)"/>
      <w:lvlJc w:val="left"/>
      <w:pPr>
        <w:ind w:left="720" w:hanging="360"/>
      </w:pPr>
    </w:lvl>
    <w:lvl w:ilvl="3" w:tplc="4306B204">
      <w:start w:val="1"/>
      <w:numFmt w:val="lowerLetter"/>
      <w:lvlText w:val="%4)"/>
      <w:lvlJc w:val="left"/>
      <w:pPr>
        <w:ind w:left="720" w:hanging="360"/>
      </w:pPr>
    </w:lvl>
    <w:lvl w:ilvl="4" w:tplc="E048CE4E">
      <w:start w:val="1"/>
      <w:numFmt w:val="lowerLetter"/>
      <w:lvlText w:val="%5)"/>
      <w:lvlJc w:val="left"/>
      <w:pPr>
        <w:ind w:left="720" w:hanging="360"/>
      </w:pPr>
    </w:lvl>
    <w:lvl w:ilvl="5" w:tplc="0B10A28E">
      <w:start w:val="1"/>
      <w:numFmt w:val="lowerLetter"/>
      <w:lvlText w:val="%6)"/>
      <w:lvlJc w:val="left"/>
      <w:pPr>
        <w:ind w:left="720" w:hanging="360"/>
      </w:pPr>
    </w:lvl>
    <w:lvl w:ilvl="6" w:tplc="CC9AB93A">
      <w:start w:val="1"/>
      <w:numFmt w:val="lowerLetter"/>
      <w:lvlText w:val="%7)"/>
      <w:lvlJc w:val="left"/>
      <w:pPr>
        <w:ind w:left="720" w:hanging="360"/>
      </w:pPr>
    </w:lvl>
    <w:lvl w:ilvl="7" w:tplc="8D128386">
      <w:start w:val="1"/>
      <w:numFmt w:val="lowerLetter"/>
      <w:lvlText w:val="%8)"/>
      <w:lvlJc w:val="left"/>
      <w:pPr>
        <w:ind w:left="720" w:hanging="360"/>
      </w:pPr>
    </w:lvl>
    <w:lvl w:ilvl="8" w:tplc="3288E22E">
      <w:start w:val="1"/>
      <w:numFmt w:val="lowerLetter"/>
      <w:lvlText w:val="%9)"/>
      <w:lvlJc w:val="left"/>
      <w:pPr>
        <w:ind w:left="720" w:hanging="360"/>
      </w:pPr>
    </w:lvl>
  </w:abstractNum>
  <w:abstractNum w:abstractNumId="20" w15:restartNumberingAfterBreak="0">
    <w:nsid w:val="42F44846"/>
    <w:multiLevelType w:val="hybridMultilevel"/>
    <w:tmpl w:val="E6B8D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9B6140"/>
    <w:multiLevelType w:val="hybridMultilevel"/>
    <w:tmpl w:val="2556B42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2" w15:restartNumberingAfterBreak="0">
    <w:nsid w:val="43D21D5E"/>
    <w:multiLevelType w:val="hybridMultilevel"/>
    <w:tmpl w:val="BE0EB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1C6FD6"/>
    <w:multiLevelType w:val="hybridMultilevel"/>
    <w:tmpl w:val="6BF62076"/>
    <w:lvl w:ilvl="0" w:tplc="AA260FC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85413F7"/>
    <w:multiLevelType w:val="hybridMultilevel"/>
    <w:tmpl w:val="57B63BF6"/>
    <w:lvl w:ilvl="0" w:tplc="E05CA42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8F47611"/>
    <w:multiLevelType w:val="hybridMultilevel"/>
    <w:tmpl w:val="B8A067EE"/>
    <w:lvl w:ilvl="0" w:tplc="0C090001">
      <w:start w:val="1"/>
      <w:numFmt w:val="bullet"/>
      <w:lvlText w:val=""/>
      <w:lvlJc w:val="left"/>
      <w:pPr>
        <w:ind w:left="360" w:hanging="360"/>
      </w:pPr>
      <w:rPr>
        <w:rFonts w:ascii="Symbol" w:hAnsi="Symbol" w:hint="default"/>
      </w:rPr>
    </w:lvl>
    <w:lvl w:ilvl="1" w:tplc="8DF20D4C">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D8A6822"/>
    <w:multiLevelType w:val="hybridMultilevel"/>
    <w:tmpl w:val="5B6A52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1DD4C7C"/>
    <w:multiLevelType w:val="hybridMultilevel"/>
    <w:tmpl w:val="09DCAB74"/>
    <w:lvl w:ilvl="0" w:tplc="1444B6C6">
      <w:start w:val="1"/>
      <w:numFmt w:val="lowerLetter"/>
      <w:lvlText w:val="%1)"/>
      <w:lvlJc w:val="left"/>
      <w:pPr>
        <w:ind w:left="1020" w:hanging="360"/>
      </w:pPr>
    </w:lvl>
    <w:lvl w:ilvl="1" w:tplc="4FFE39C2">
      <w:start w:val="1"/>
      <w:numFmt w:val="lowerLetter"/>
      <w:lvlText w:val="%2)"/>
      <w:lvlJc w:val="left"/>
      <w:pPr>
        <w:ind w:left="1020" w:hanging="360"/>
      </w:pPr>
    </w:lvl>
    <w:lvl w:ilvl="2" w:tplc="22349D14">
      <w:start w:val="1"/>
      <w:numFmt w:val="lowerLetter"/>
      <w:lvlText w:val="%3)"/>
      <w:lvlJc w:val="left"/>
      <w:pPr>
        <w:ind w:left="1020" w:hanging="360"/>
      </w:pPr>
    </w:lvl>
    <w:lvl w:ilvl="3" w:tplc="A0F42FAC">
      <w:start w:val="1"/>
      <w:numFmt w:val="lowerLetter"/>
      <w:lvlText w:val="%4)"/>
      <w:lvlJc w:val="left"/>
      <w:pPr>
        <w:ind w:left="1020" w:hanging="360"/>
      </w:pPr>
    </w:lvl>
    <w:lvl w:ilvl="4" w:tplc="5D3EA5A6">
      <w:start w:val="1"/>
      <w:numFmt w:val="lowerLetter"/>
      <w:lvlText w:val="%5)"/>
      <w:lvlJc w:val="left"/>
      <w:pPr>
        <w:ind w:left="1020" w:hanging="360"/>
      </w:pPr>
    </w:lvl>
    <w:lvl w:ilvl="5" w:tplc="6928B302">
      <w:start w:val="1"/>
      <w:numFmt w:val="lowerLetter"/>
      <w:lvlText w:val="%6)"/>
      <w:lvlJc w:val="left"/>
      <w:pPr>
        <w:ind w:left="1020" w:hanging="360"/>
      </w:pPr>
    </w:lvl>
    <w:lvl w:ilvl="6" w:tplc="C908ABBA">
      <w:start w:val="1"/>
      <w:numFmt w:val="lowerLetter"/>
      <w:lvlText w:val="%7)"/>
      <w:lvlJc w:val="left"/>
      <w:pPr>
        <w:ind w:left="1020" w:hanging="360"/>
      </w:pPr>
    </w:lvl>
    <w:lvl w:ilvl="7" w:tplc="AB5ED140">
      <w:start w:val="1"/>
      <w:numFmt w:val="lowerLetter"/>
      <w:lvlText w:val="%8)"/>
      <w:lvlJc w:val="left"/>
      <w:pPr>
        <w:ind w:left="1020" w:hanging="360"/>
      </w:pPr>
    </w:lvl>
    <w:lvl w:ilvl="8" w:tplc="38A8EF0A">
      <w:start w:val="1"/>
      <w:numFmt w:val="lowerLetter"/>
      <w:lvlText w:val="%9)"/>
      <w:lvlJc w:val="left"/>
      <w:pPr>
        <w:ind w:left="1020" w:hanging="360"/>
      </w:pPr>
    </w:lvl>
  </w:abstractNum>
  <w:abstractNum w:abstractNumId="28" w15:restartNumberingAfterBreak="0">
    <w:nsid w:val="56A9590B"/>
    <w:multiLevelType w:val="hybridMultilevel"/>
    <w:tmpl w:val="8A1A8ED4"/>
    <w:lvl w:ilvl="0" w:tplc="CB3E902C">
      <w:start w:val="1"/>
      <w:numFmt w:val="lowerLetter"/>
      <w:lvlText w:val="%1)"/>
      <w:lvlJc w:val="left"/>
      <w:pPr>
        <w:ind w:left="1020" w:hanging="360"/>
      </w:pPr>
    </w:lvl>
    <w:lvl w:ilvl="1" w:tplc="6C649BA8">
      <w:start w:val="1"/>
      <w:numFmt w:val="lowerLetter"/>
      <w:lvlText w:val="%2)"/>
      <w:lvlJc w:val="left"/>
      <w:pPr>
        <w:ind w:left="1020" w:hanging="360"/>
      </w:pPr>
    </w:lvl>
    <w:lvl w:ilvl="2" w:tplc="1758118E">
      <w:start w:val="1"/>
      <w:numFmt w:val="lowerLetter"/>
      <w:lvlText w:val="%3)"/>
      <w:lvlJc w:val="left"/>
      <w:pPr>
        <w:ind w:left="1020" w:hanging="360"/>
      </w:pPr>
    </w:lvl>
    <w:lvl w:ilvl="3" w:tplc="DD28F284">
      <w:start w:val="1"/>
      <w:numFmt w:val="lowerLetter"/>
      <w:lvlText w:val="%4)"/>
      <w:lvlJc w:val="left"/>
      <w:pPr>
        <w:ind w:left="1020" w:hanging="360"/>
      </w:pPr>
    </w:lvl>
    <w:lvl w:ilvl="4" w:tplc="7C040EDC">
      <w:start w:val="1"/>
      <w:numFmt w:val="lowerLetter"/>
      <w:lvlText w:val="%5)"/>
      <w:lvlJc w:val="left"/>
      <w:pPr>
        <w:ind w:left="1020" w:hanging="360"/>
      </w:pPr>
    </w:lvl>
    <w:lvl w:ilvl="5" w:tplc="5DA019E2">
      <w:start w:val="1"/>
      <w:numFmt w:val="lowerLetter"/>
      <w:lvlText w:val="%6)"/>
      <w:lvlJc w:val="left"/>
      <w:pPr>
        <w:ind w:left="1020" w:hanging="360"/>
      </w:pPr>
    </w:lvl>
    <w:lvl w:ilvl="6" w:tplc="49280516">
      <w:start w:val="1"/>
      <w:numFmt w:val="lowerLetter"/>
      <w:lvlText w:val="%7)"/>
      <w:lvlJc w:val="left"/>
      <w:pPr>
        <w:ind w:left="1020" w:hanging="360"/>
      </w:pPr>
    </w:lvl>
    <w:lvl w:ilvl="7" w:tplc="9D7AC302">
      <w:start w:val="1"/>
      <w:numFmt w:val="lowerLetter"/>
      <w:lvlText w:val="%8)"/>
      <w:lvlJc w:val="left"/>
      <w:pPr>
        <w:ind w:left="1020" w:hanging="360"/>
      </w:pPr>
    </w:lvl>
    <w:lvl w:ilvl="8" w:tplc="B5945C4A">
      <w:start w:val="1"/>
      <w:numFmt w:val="lowerLetter"/>
      <w:lvlText w:val="%9)"/>
      <w:lvlJc w:val="left"/>
      <w:pPr>
        <w:ind w:left="1020" w:hanging="360"/>
      </w:pPr>
    </w:lvl>
  </w:abstractNum>
  <w:abstractNum w:abstractNumId="29" w15:restartNumberingAfterBreak="0">
    <w:nsid w:val="56B10543"/>
    <w:multiLevelType w:val="hybridMultilevel"/>
    <w:tmpl w:val="08506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5C20A4"/>
    <w:multiLevelType w:val="hybridMultilevel"/>
    <w:tmpl w:val="9A2C09B4"/>
    <w:lvl w:ilvl="0" w:tplc="0C09000F">
      <w:start w:val="1"/>
      <w:numFmt w:val="decimal"/>
      <w:lvlText w:val="%1."/>
      <w:lvlJc w:val="left"/>
      <w:pPr>
        <w:ind w:left="360" w:hanging="360"/>
      </w:pPr>
      <w:rPr>
        <w:rFonts w:hint="default"/>
      </w:rPr>
    </w:lvl>
    <w:lvl w:ilvl="1" w:tplc="7EFC11F6">
      <w:start w:val="1"/>
      <w:numFmt w:val="bullet"/>
      <w:pStyle w:val="Bullet11"/>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B8C52F8"/>
    <w:multiLevelType w:val="hybridMultilevel"/>
    <w:tmpl w:val="58726D00"/>
    <w:lvl w:ilvl="0" w:tplc="AC8014C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DA66BCE"/>
    <w:multiLevelType w:val="hybridMultilevel"/>
    <w:tmpl w:val="062AC7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27C0B3B"/>
    <w:multiLevelType w:val="hybridMultilevel"/>
    <w:tmpl w:val="16449B80"/>
    <w:lvl w:ilvl="0" w:tplc="E35497B0">
      <w:start w:val="1"/>
      <w:numFmt w:val="lowerLetter"/>
      <w:lvlText w:val="%1)"/>
      <w:lvlJc w:val="left"/>
      <w:pPr>
        <w:ind w:left="720" w:hanging="360"/>
      </w:pPr>
    </w:lvl>
    <w:lvl w:ilvl="1" w:tplc="E36EA420">
      <w:start w:val="1"/>
      <w:numFmt w:val="lowerLetter"/>
      <w:lvlText w:val="%2)"/>
      <w:lvlJc w:val="left"/>
      <w:pPr>
        <w:ind w:left="720" w:hanging="360"/>
      </w:pPr>
    </w:lvl>
    <w:lvl w:ilvl="2" w:tplc="FB10442A">
      <w:start w:val="1"/>
      <w:numFmt w:val="lowerLetter"/>
      <w:lvlText w:val="%3)"/>
      <w:lvlJc w:val="left"/>
      <w:pPr>
        <w:ind w:left="720" w:hanging="360"/>
      </w:pPr>
    </w:lvl>
    <w:lvl w:ilvl="3" w:tplc="82127460">
      <w:start w:val="1"/>
      <w:numFmt w:val="lowerLetter"/>
      <w:lvlText w:val="%4)"/>
      <w:lvlJc w:val="left"/>
      <w:pPr>
        <w:ind w:left="720" w:hanging="360"/>
      </w:pPr>
    </w:lvl>
    <w:lvl w:ilvl="4" w:tplc="F4AE435E">
      <w:start w:val="1"/>
      <w:numFmt w:val="lowerLetter"/>
      <w:lvlText w:val="%5)"/>
      <w:lvlJc w:val="left"/>
      <w:pPr>
        <w:ind w:left="720" w:hanging="360"/>
      </w:pPr>
    </w:lvl>
    <w:lvl w:ilvl="5" w:tplc="CFC446BA">
      <w:start w:val="1"/>
      <w:numFmt w:val="lowerLetter"/>
      <w:lvlText w:val="%6)"/>
      <w:lvlJc w:val="left"/>
      <w:pPr>
        <w:ind w:left="720" w:hanging="360"/>
      </w:pPr>
    </w:lvl>
    <w:lvl w:ilvl="6" w:tplc="D408D666">
      <w:start w:val="1"/>
      <w:numFmt w:val="lowerLetter"/>
      <w:lvlText w:val="%7)"/>
      <w:lvlJc w:val="left"/>
      <w:pPr>
        <w:ind w:left="720" w:hanging="360"/>
      </w:pPr>
    </w:lvl>
    <w:lvl w:ilvl="7" w:tplc="A8E01396">
      <w:start w:val="1"/>
      <w:numFmt w:val="lowerLetter"/>
      <w:lvlText w:val="%8)"/>
      <w:lvlJc w:val="left"/>
      <w:pPr>
        <w:ind w:left="720" w:hanging="360"/>
      </w:pPr>
    </w:lvl>
    <w:lvl w:ilvl="8" w:tplc="C25CE6BA">
      <w:start w:val="1"/>
      <w:numFmt w:val="lowerLetter"/>
      <w:lvlText w:val="%9)"/>
      <w:lvlJc w:val="left"/>
      <w:pPr>
        <w:ind w:left="720" w:hanging="360"/>
      </w:pPr>
    </w:lvl>
  </w:abstractNum>
  <w:abstractNum w:abstractNumId="34" w15:restartNumberingAfterBreak="0">
    <w:nsid w:val="68A00227"/>
    <w:multiLevelType w:val="hybridMultilevel"/>
    <w:tmpl w:val="A6046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395C9C"/>
    <w:multiLevelType w:val="hybridMultilevel"/>
    <w:tmpl w:val="24649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B6334C"/>
    <w:multiLevelType w:val="hybridMultilevel"/>
    <w:tmpl w:val="59F80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F3229D"/>
    <w:multiLevelType w:val="hybridMultilevel"/>
    <w:tmpl w:val="53928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FF5238D"/>
    <w:multiLevelType w:val="hybridMultilevel"/>
    <w:tmpl w:val="20F25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4144404">
    <w:abstractNumId w:val="34"/>
  </w:num>
  <w:num w:numId="2" w16cid:durableId="1699773550">
    <w:abstractNumId w:val="3"/>
  </w:num>
  <w:num w:numId="3" w16cid:durableId="1004283203">
    <w:abstractNumId w:val="29"/>
  </w:num>
  <w:num w:numId="4" w16cid:durableId="1856118420">
    <w:abstractNumId w:val="17"/>
  </w:num>
  <w:num w:numId="5" w16cid:durableId="1658925061">
    <w:abstractNumId w:val="15"/>
  </w:num>
  <w:num w:numId="6" w16cid:durableId="973759524">
    <w:abstractNumId w:val="36"/>
  </w:num>
  <w:num w:numId="7" w16cid:durableId="692339392">
    <w:abstractNumId w:val="16"/>
  </w:num>
  <w:num w:numId="8" w16cid:durableId="1682969297">
    <w:abstractNumId w:val="22"/>
  </w:num>
  <w:num w:numId="9" w16cid:durableId="851529032">
    <w:abstractNumId w:val="24"/>
  </w:num>
  <w:num w:numId="10" w16cid:durableId="1117216850">
    <w:abstractNumId w:val="0"/>
  </w:num>
  <w:num w:numId="11" w16cid:durableId="1537961052">
    <w:abstractNumId w:val="25"/>
  </w:num>
  <w:num w:numId="12" w16cid:durableId="597754438">
    <w:abstractNumId w:val="38"/>
  </w:num>
  <w:num w:numId="13" w16cid:durableId="523518936">
    <w:abstractNumId w:val="35"/>
  </w:num>
  <w:num w:numId="14" w16cid:durableId="1578898660">
    <w:abstractNumId w:val="23"/>
  </w:num>
  <w:num w:numId="15" w16cid:durableId="1481338723">
    <w:abstractNumId w:val="30"/>
  </w:num>
  <w:num w:numId="16" w16cid:durableId="849296792">
    <w:abstractNumId w:val="1"/>
  </w:num>
  <w:num w:numId="17" w16cid:durableId="540243075">
    <w:abstractNumId w:val="18"/>
  </w:num>
  <w:num w:numId="18" w16cid:durableId="2117556573">
    <w:abstractNumId w:val="5"/>
  </w:num>
  <w:num w:numId="19" w16cid:durableId="24600120">
    <w:abstractNumId w:val="11"/>
  </w:num>
  <w:num w:numId="20" w16cid:durableId="325592537">
    <w:abstractNumId w:val="2"/>
  </w:num>
  <w:num w:numId="21" w16cid:durableId="290330031">
    <w:abstractNumId w:val="20"/>
  </w:num>
  <w:num w:numId="22" w16cid:durableId="848569651">
    <w:abstractNumId w:val="10"/>
  </w:num>
  <w:num w:numId="23" w16cid:durableId="267658486">
    <w:abstractNumId w:val="6"/>
  </w:num>
  <w:num w:numId="24" w16cid:durableId="2120178555">
    <w:abstractNumId w:val="7"/>
  </w:num>
  <w:num w:numId="25" w16cid:durableId="764158031">
    <w:abstractNumId w:val="13"/>
  </w:num>
  <w:num w:numId="26" w16cid:durableId="1528760613">
    <w:abstractNumId w:val="31"/>
  </w:num>
  <w:num w:numId="27" w16cid:durableId="500438275">
    <w:abstractNumId w:val="21"/>
  </w:num>
  <w:num w:numId="28" w16cid:durableId="1795708416">
    <w:abstractNumId w:val="32"/>
  </w:num>
  <w:num w:numId="29" w16cid:durableId="1615870309">
    <w:abstractNumId w:val="37"/>
  </w:num>
  <w:num w:numId="30" w16cid:durableId="1953659774">
    <w:abstractNumId w:val="6"/>
  </w:num>
  <w:num w:numId="31" w16cid:durableId="1853835445">
    <w:abstractNumId w:val="4"/>
  </w:num>
  <w:num w:numId="32" w16cid:durableId="1570119032">
    <w:abstractNumId w:val="26"/>
  </w:num>
  <w:num w:numId="33" w16cid:durableId="1412578188">
    <w:abstractNumId w:val="8"/>
  </w:num>
  <w:num w:numId="34" w16cid:durableId="1270625931">
    <w:abstractNumId w:val="12"/>
  </w:num>
  <w:num w:numId="35" w16cid:durableId="392851459">
    <w:abstractNumId w:val="14"/>
  </w:num>
  <w:num w:numId="36" w16cid:durableId="2050379417">
    <w:abstractNumId w:val="27"/>
  </w:num>
  <w:num w:numId="37" w16cid:durableId="2051833383">
    <w:abstractNumId w:val="28"/>
  </w:num>
  <w:num w:numId="38" w16cid:durableId="1367488861">
    <w:abstractNumId w:val="9"/>
  </w:num>
  <w:num w:numId="39" w16cid:durableId="308481547">
    <w:abstractNumId w:val="33"/>
  </w:num>
  <w:num w:numId="40" w16cid:durableId="15629035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oterIsRun" w:val="N"/>
  </w:docVars>
  <w:rsids>
    <w:rsidRoot w:val="00274651"/>
    <w:rsid w:val="000029FD"/>
    <w:rsid w:val="00004AFF"/>
    <w:rsid w:val="000050B1"/>
    <w:rsid w:val="00005784"/>
    <w:rsid w:val="00011500"/>
    <w:rsid w:val="00021ACF"/>
    <w:rsid w:val="000325AE"/>
    <w:rsid w:val="00032E9C"/>
    <w:rsid w:val="00033C88"/>
    <w:rsid w:val="00033EE0"/>
    <w:rsid w:val="00034427"/>
    <w:rsid w:val="00035549"/>
    <w:rsid w:val="00057264"/>
    <w:rsid w:val="00063BA5"/>
    <w:rsid w:val="00067D8B"/>
    <w:rsid w:val="00071159"/>
    <w:rsid w:val="0008046C"/>
    <w:rsid w:val="000815D4"/>
    <w:rsid w:val="000822C5"/>
    <w:rsid w:val="00082F0A"/>
    <w:rsid w:val="0009506C"/>
    <w:rsid w:val="000A5E86"/>
    <w:rsid w:val="000A6C3A"/>
    <w:rsid w:val="000B0AC5"/>
    <w:rsid w:val="000B177B"/>
    <w:rsid w:val="000B3279"/>
    <w:rsid w:val="000C1C0D"/>
    <w:rsid w:val="000D1188"/>
    <w:rsid w:val="000D5F67"/>
    <w:rsid w:val="000E0C46"/>
    <w:rsid w:val="000E24FB"/>
    <w:rsid w:val="000F1A2A"/>
    <w:rsid w:val="000F2181"/>
    <w:rsid w:val="000F3F86"/>
    <w:rsid w:val="000F6BFA"/>
    <w:rsid w:val="00104D5D"/>
    <w:rsid w:val="00106C1A"/>
    <w:rsid w:val="0012114F"/>
    <w:rsid w:val="00124070"/>
    <w:rsid w:val="00130657"/>
    <w:rsid w:val="001323A5"/>
    <w:rsid w:val="00134C32"/>
    <w:rsid w:val="00135CE2"/>
    <w:rsid w:val="001373F6"/>
    <w:rsid w:val="00153C32"/>
    <w:rsid w:val="0015625E"/>
    <w:rsid w:val="001568C5"/>
    <w:rsid w:val="00160B69"/>
    <w:rsid w:val="00162180"/>
    <w:rsid w:val="00167394"/>
    <w:rsid w:val="00173BA3"/>
    <w:rsid w:val="00176895"/>
    <w:rsid w:val="00177F93"/>
    <w:rsid w:val="00177FCC"/>
    <w:rsid w:val="00181199"/>
    <w:rsid w:val="00181866"/>
    <w:rsid w:val="00185DB3"/>
    <w:rsid w:val="001978EC"/>
    <w:rsid w:val="001A2475"/>
    <w:rsid w:val="001A3950"/>
    <w:rsid w:val="001A7FB8"/>
    <w:rsid w:val="001B00C9"/>
    <w:rsid w:val="001B318D"/>
    <w:rsid w:val="001B480F"/>
    <w:rsid w:val="001C35DE"/>
    <w:rsid w:val="001D25AC"/>
    <w:rsid w:val="001F0C0A"/>
    <w:rsid w:val="001F6388"/>
    <w:rsid w:val="00203986"/>
    <w:rsid w:val="002073E6"/>
    <w:rsid w:val="0020773C"/>
    <w:rsid w:val="00222F89"/>
    <w:rsid w:val="00237502"/>
    <w:rsid w:val="00242E12"/>
    <w:rsid w:val="00247E05"/>
    <w:rsid w:val="002529E0"/>
    <w:rsid w:val="002621A6"/>
    <w:rsid w:val="00266D9E"/>
    <w:rsid w:val="002711D5"/>
    <w:rsid w:val="00274651"/>
    <w:rsid w:val="00276842"/>
    <w:rsid w:val="00284C91"/>
    <w:rsid w:val="00284E6D"/>
    <w:rsid w:val="00287B7E"/>
    <w:rsid w:val="00287D8B"/>
    <w:rsid w:val="002A0E1B"/>
    <w:rsid w:val="002A0EDB"/>
    <w:rsid w:val="002A177A"/>
    <w:rsid w:val="002A4C03"/>
    <w:rsid w:val="002A5532"/>
    <w:rsid w:val="002A5D93"/>
    <w:rsid w:val="002A65A7"/>
    <w:rsid w:val="002A7F2C"/>
    <w:rsid w:val="002B0F34"/>
    <w:rsid w:val="002B1373"/>
    <w:rsid w:val="002B4A00"/>
    <w:rsid w:val="002B4E7F"/>
    <w:rsid w:val="002B53EC"/>
    <w:rsid w:val="002C4607"/>
    <w:rsid w:val="002D1233"/>
    <w:rsid w:val="002D22DE"/>
    <w:rsid w:val="002E196E"/>
    <w:rsid w:val="002E4930"/>
    <w:rsid w:val="002E66F4"/>
    <w:rsid w:val="002F2C9D"/>
    <w:rsid w:val="002F535C"/>
    <w:rsid w:val="003007AB"/>
    <w:rsid w:val="00301852"/>
    <w:rsid w:val="0030207B"/>
    <w:rsid w:val="0030220C"/>
    <w:rsid w:val="00303DC6"/>
    <w:rsid w:val="00306F79"/>
    <w:rsid w:val="003115CC"/>
    <w:rsid w:val="003119FA"/>
    <w:rsid w:val="00312392"/>
    <w:rsid w:val="003138DA"/>
    <w:rsid w:val="00316E5E"/>
    <w:rsid w:val="00321296"/>
    <w:rsid w:val="00323337"/>
    <w:rsid w:val="00332BCA"/>
    <w:rsid w:val="00334EE1"/>
    <w:rsid w:val="003424C6"/>
    <w:rsid w:val="00342569"/>
    <w:rsid w:val="00352CD0"/>
    <w:rsid w:val="003613C8"/>
    <w:rsid w:val="00371FC6"/>
    <w:rsid w:val="00374D8C"/>
    <w:rsid w:val="00377C14"/>
    <w:rsid w:val="00381BE3"/>
    <w:rsid w:val="003823A4"/>
    <w:rsid w:val="003828D1"/>
    <w:rsid w:val="0039408A"/>
    <w:rsid w:val="003968CB"/>
    <w:rsid w:val="003B2618"/>
    <w:rsid w:val="003B6B70"/>
    <w:rsid w:val="003C2A9B"/>
    <w:rsid w:val="003D241D"/>
    <w:rsid w:val="003D28F3"/>
    <w:rsid w:val="003D4258"/>
    <w:rsid w:val="003D6751"/>
    <w:rsid w:val="003E17D8"/>
    <w:rsid w:val="003E336B"/>
    <w:rsid w:val="003F15E1"/>
    <w:rsid w:val="003F6E7F"/>
    <w:rsid w:val="003F78DE"/>
    <w:rsid w:val="003F7E76"/>
    <w:rsid w:val="00407DBD"/>
    <w:rsid w:val="00410F19"/>
    <w:rsid w:val="0041286D"/>
    <w:rsid w:val="00412E4B"/>
    <w:rsid w:val="00414E34"/>
    <w:rsid w:val="00416E09"/>
    <w:rsid w:val="00425C5B"/>
    <w:rsid w:val="00427747"/>
    <w:rsid w:val="004316BD"/>
    <w:rsid w:val="00432749"/>
    <w:rsid w:val="00436779"/>
    <w:rsid w:val="004371FA"/>
    <w:rsid w:val="004476E2"/>
    <w:rsid w:val="0045374B"/>
    <w:rsid w:val="00454B86"/>
    <w:rsid w:val="00455234"/>
    <w:rsid w:val="00461F22"/>
    <w:rsid w:val="00473594"/>
    <w:rsid w:val="00474204"/>
    <w:rsid w:val="00474789"/>
    <w:rsid w:val="00474D1A"/>
    <w:rsid w:val="004763E8"/>
    <w:rsid w:val="0048071E"/>
    <w:rsid w:val="004842A9"/>
    <w:rsid w:val="004936C0"/>
    <w:rsid w:val="00495569"/>
    <w:rsid w:val="0049725E"/>
    <w:rsid w:val="004A127A"/>
    <w:rsid w:val="004A72B5"/>
    <w:rsid w:val="004B11BE"/>
    <w:rsid w:val="004B2E40"/>
    <w:rsid w:val="004B37BE"/>
    <w:rsid w:val="004B56D5"/>
    <w:rsid w:val="004C258E"/>
    <w:rsid w:val="004D10DB"/>
    <w:rsid w:val="004D647B"/>
    <w:rsid w:val="004D7BFD"/>
    <w:rsid w:val="004E09D9"/>
    <w:rsid w:val="004F0D30"/>
    <w:rsid w:val="00501EE0"/>
    <w:rsid w:val="0050314A"/>
    <w:rsid w:val="0050735A"/>
    <w:rsid w:val="00507790"/>
    <w:rsid w:val="00511C4D"/>
    <w:rsid w:val="005125A4"/>
    <w:rsid w:val="00521118"/>
    <w:rsid w:val="005305A9"/>
    <w:rsid w:val="005350DA"/>
    <w:rsid w:val="00537FCD"/>
    <w:rsid w:val="00540699"/>
    <w:rsid w:val="00540EC3"/>
    <w:rsid w:val="00545E0C"/>
    <w:rsid w:val="00552A28"/>
    <w:rsid w:val="0055460A"/>
    <w:rsid w:val="005675B3"/>
    <w:rsid w:val="005828D5"/>
    <w:rsid w:val="0058361D"/>
    <w:rsid w:val="00585223"/>
    <w:rsid w:val="00594F57"/>
    <w:rsid w:val="005966E2"/>
    <w:rsid w:val="005A1CE3"/>
    <w:rsid w:val="005A7820"/>
    <w:rsid w:val="005B051D"/>
    <w:rsid w:val="005B3275"/>
    <w:rsid w:val="005B3608"/>
    <w:rsid w:val="005B36F2"/>
    <w:rsid w:val="005B58FD"/>
    <w:rsid w:val="005B6B90"/>
    <w:rsid w:val="005C169F"/>
    <w:rsid w:val="005D0C2C"/>
    <w:rsid w:val="005D1F47"/>
    <w:rsid w:val="005D211F"/>
    <w:rsid w:val="005D6F1E"/>
    <w:rsid w:val="005D7923"/>
    <w:rsid w:val="005E0BE3"/>
    <w:rsid w:val="005E0DEA"/>
    <w:rsid w:val="005E206F"/>
    <w:rsid w:val="005E65A7"/>
    <w:rsid w:val="005E7BB1"/>
    <w:rsid w:val="005F2F79"/>
    <w:rsid w:val="005F5C3C"/>
    <w:rsid w:val="006015CC"/>
    <w:rsid w:val="006045F9"/>
    <w:rsid w:val="00607159"/>
    <w:rsid w:val="00613D5B"/>
    <w:rsid w:val="00614B05"/>
    <w:rsid w:val="00615328"/>
    <w:rsid w:val="00615A34"/>
    <w:rsid w:val="0062037A"/>
    <w:rsid w:val="00623981"/>
    <w:rsid w:val="00626A40"/>
    <w:rsid w:val="00631619"/>
    <w:rsid w:val="00631D27"/>
    <w:rsid w:val="00636091"/>
    <w:rsid w:val="0063791B"/>
    <w:rsid w:val="00647034"/>
    <w:rsid w:val="00653AEC"/>
    <w:rsid w:val="00657C36"/>
    <w:rsid w:val="00663942"/>
    <w:rsid w:val="0067293F"/>
    <w:rsid w:val="00672EAD"/>
    <w:rsid w:val="00674CD7"/>
    <w:rsid w:val="00675754"/>
    <w:rsid w:val="006813E6"/>
    <w:rsid w:val="0068213C"/>
    <w:rsid w:val="006823EE"/>
    <w:rsid w:val="00685009"/>
    <w:rsid w:val="00694861"/>
    <w:rsid w:val="00694B22"/>
    <w:rsid w:val="006950EB"/>
    <w:rsid w:val="006A456A"/>
    <w:rsid w:val="006A753C"/>
    <w:rsid w:val="006B4C56"/>
    <w:rsid w:val="006D277D"/>
    <w:rsid w:val="006D3FDD"/>
    <w:rsid w:val="006E0B31"/>
    <w:rsid w:val="006E5044"/>
    <w:rsid w:val="006E6FA5"/>
    <w:rsid w:val="006E765B"/>
    <w:rsid w:val="006F1F41"/>
    <w:rsid w:val="006F4131"/>
    <w:rsid w:val="006F5679"/>
    <w:rsid w:val="00702199"/>
    <w:rsid w:val="0070466C"/>
    <w:rsid w:val="007049EF"/>
    <w:rsid w:val="00712D5A"/>
    <w:rsid w:val="00714D6A"/>
    <w:rsid w:val="007160CB"/>
    <w:rsid w:val="00727535"/>
    <w:rsid w:val="007308EC"/>
    <w:rsid w:val="00732086"/>
    <w:rsid w:val="00733213"/>
    <w:rsid w:val="0073341A"/>
    <w:rsid w:val="00736233"/>
    <w:rsid w:val="00736C0E"/>
    <w:rsid w:val="00742310"/>
    <w:rsid w:val="00745B76"/>
    <w:rsid w:val="0075153B"/>
    <w:rsid w:val="007523DF"/>
    <w:rsid w:val="00762BE6"/>
    <w:rsid w:val="00773627"/>
    <w:rsid w:val="007766C2"/>
    <w:rsid w:val="0077688B"/>
    <w:rsid w:val="00777CA7"/>
    <w:rsid w:val="007834C8"/>
    <w:rsid w:val="00790226"/>
    <w:rsid w:val="00790587"/>
    <w:rsid w:val="00791423"/>
    <w:rsid w:val="007A2B25"/>
    <w:rsid w:val="007A2E8F"/>
    <w:rsid w:val="007B04F1"/>
    <w:rsid w:val="007C440C"/>
    <w:rsid w:val="007C608B"/>
    <w:rsid w:val="007C64A4"/>
    <w:rsid w:val="007D1ECF"/>
    <w:rsid w:val="007E140A"/>
    <w:rsid w:val="007E215C"/>
    <w:rsid w:val="007F0D2B"/>
    <w:rsid w:val="0080371B"/>
    <w:rsid w:val="00807A11"/>
    <w:rsid w:val="00810CB1"/>
    <w:rsid w:val="00812B10"/>
    <w:rsid w:val="00815EE2"/>
    <w:rsid w:val="0081673A"/>
    <w:rsid w:val="008229FD"/>
    <w:rsid w:val="00824DF1"/>
    <w:rsid w:val="00825CC5"/>
    <w:rsid w:val="00827DFC"/>
    <w:rsid w:val="008345D4"/>
    <w:rsid w:val="00836D8E"/>
    <w:rsid w:val="0084284E"/>
    <w:rsid w:val="00843885"/>
    <w:rsid w:val="00845F26"/>
    <w:rsid w:val="0085091F"/>
    <w:rsid w:val="00850A2A"/>
    <w:rsid w:val="0085441C"/>
    <w:rsid w:val="0087068C"/>
    <w:rsid w:val="008818BF"/>
    <w:rsid w:val="00886FA8"/>
    <w:rsid w:val="00895A7D"/>
    <w:rsid w:val="008A473F"/>
    <w:rsid w:val="008A5C40"/>
    <w:rsid w:val="008A7B33"/>
    <w:rsid w:val="008C3BAB"/>
    <w:rsid w:val="008C4E92"/>
    <w:rsid w:val="008D0FA5"/>
    <w:rsid w:val="008D1460"/>
    <w:rsid w:val="008E2E0E"/>
    <w:rsid w:val="008E4089"/>
    <w:rsid w:val="008F0405"/>
    <w:rsid w:val="008F126E"/>
    <w:rsid w:val="008F6C1C"/>
    <w:rsid w:val="00902A04"/>
    <w:rsid w:val="00912C75"/>
    <w:rsid w:val="00916AE2"/>
    <w:rsid w:val="00934116"/>
    <w:rsid w:val="00934849"/>
    <w:rsid w:val="00934C29"/>
    <w:rsid w:val="00937F7A"/>
    <w:rsid w:val="00940465"/>
    <w:rsid w:val="009420DB"/>
    <w:rsid w:val="00944590"/>
    <w:rsid w:val="00956630"/>
    <w:rsid w:val="00957020"/>
    <w:rsid w:val="009575D9"/>
    <w:rsid w:val="009640B2"/>
    <w:rsid w:val="00970210"/>
    <w:rsid w:val="00975AF6"/>
    <w:rsid w:val="009830C0"/>
    <w:rsid w:val="00986B9E"/>
    <w:rsid w:val="00986DB0"/>
    <w:rsid w:val="009A3209"/>
    <w:rsid w:val="009A3C45"/>
    <w:rsid w:val="009A6DF8"/>
    <w:rsid w:val="009A734E"/>
    <w:rsid w:val="009B7C3B"/>
    <w:rsid w:val="009C505A"/>
    <w:rsid w:val="009C79A5"/>
    <w:rsid w:val="009D2110"/>
    <w:rsid w:val="009D39A7"/>
    <w:rsid w:val="009E1B31"/>
    <w:rsid w:val="009E7B9B"/>
    <w:rsid w:val="009E7BB8"/>
    <w:rsid w:val="009F6D97"/>
    <w:rsid w:val="00A00B27"/>
    <w:rsid w:val="00A04F26"/>
    <w:rsid w:val="00A103CF"/>
    <w:rsid w:val="00A22043"/>
    <w:rsid w:val="00A220E5"/>
    <w:rsid w:val="00A358BF"/>
    <w:rsid w:val="00A407B3"/>
    <w:rsid w:val="00A46C05"/>
    <w:rsid w:val="00A4744A"/>
    <w:rsid w:val="00A511DD"/>
    <w:rsid w:val="00A55DAA"/>
    <w:rsid w:val="00A60876"/>
    <w:rsid w:val="00A608CB"/>
    <w:rsid w:val="00A65FD8"/>
    <w:rsid w:val="00A66737"/>
    <w:rsid w:val="00A71B6F"/>
    <w:rsid w:val="00A75B1D"/>
    <w:rsid w:val="00A813B8"/>
    <w:rsid w:val="00A81E9B"/>
    <w:rsid w:val="00A820AB"/>
    <w:rsid w:val="00A9039B"/>
    <w:rsid w:val="00A923B8"/>
    <w:rsid w:val="00AA3750"/>
    <w:rsid w:val="00AA3A31"/>
    <w:rsid w:val="00AB4B0B"/>
    <w:rsid w:val="00AB5896"/>
    <w:rsid w:val="00AB791E"/>
    <w:rsid w:val="00AB7C8F"/>
    <w:rsid w:val="00AD2E12"/>
    <w:rsid w:val="00AD3A41"/>
    <w:rsid w:val="00AD4202"/>
    <w:rsid w:val="00AE2619"/>
    <w:rsid w:val="00AE7B23"/>
    <w:rsid w:val="00AF5595"/>
    <w:rsid w:val="00B01234"/>
    <w:rsid w:val="00B01F35"/>
    <w:rsid w:val="00B03092"/>
    <w:rsid w:val="00B068A1"/>
    <w:rsid w:val="00B07215"/>
    <w:rsid w:val="00B13B49"/>
    <w:rsid w:val="00B15C7F"/>
    <w:rsid w:val="00B2025C"/>
    <w:rsid w:val="00B22602"/>
    <w:rsid w:val="00B24E41"/>
    <w:rsid w:val="00B27035"/>
    <w:rsid w:val="00B31FD1"/>
    <w:rsid w:val="00B377CB"/>
    <w:rsid w:val="00B40045"/>
    <w:rsid w:val="00B4144D"/>
    <w:rsid w:val="00B41C25"/>
    <w:rsid w:val="00B41DFF"/>
    <w:rsid w:val="00B452AB"/>
    <w:rsid w:val="00B46004"/>
    <w:rsid w:val="00B47FF0"/>
    <w:rsid w:val="00B56B56"/>
    <w:rsid w:val="00B62E92"/>
    <w:rsid w:val="00B64F70"/>
    <w:rsid w:val="00B669F9"/>
    <w:rsid w:val="00B700DD"/>
    <w:rsid w:val="00B81E0C"/>
    <w:rsid w:val="00B82004"/>
    <w:rsid w:val="00B82351"/>
    <w:rsid w:val="00B9330A"/>
    <w:rsid w:val="00B94F2B"/>
    <w:rsid w:val="00BA777C"/>
    <w:rsid w:val="00BB3D03"/>
    <w:rsid w:val="00BC1A26"/>
    <w:rsid w:val="00BC3ED2"/>
    <w:rsid w:val="00BE40FB"/>
    <w:rsid w:val="00BF2609"/>
    <w:rsid w:val="00BF3CD4"/>
    <w:rsid w:val="00C00504"/>
    <w:rsid w:val="00C01175"/>
    <w:rsid w:val="00C0194F"/>
    <w:rsid w:val="00C04E12"/>
    <w:rsid w:val="00C05D97"/>
    <w:rsid w:val="00C06072"/>
    <w:rsid w:val="00C12DC2"/>
    <w:rsid w:val="00C1300B"/>
    <w:rsid w:val="00C16A32"/>
    <w:rsid w:val="00C27145"/>
    <w:rsid w:val="00C32618"/>
    <w:rsid w:val="00C3327A"/>
    <w:rsid w:val="00C43A71"/>
    <w:rsid w:val="00C44CBB"/>
    <w:rsid w:val="00C452D6"/>
    <w:rsid w:val="00C4668D"/>
    <w:rsid w:val="00C53027"/>
    <w:rsid w:val="00C6158B"/>
    <w:rsid w:val="00C62F0B"/>
    <w:rsid w:val="00C645A4"/>
    <w:rsid w:val="00C73B72"/>
    <w:rsid w:val="00C73C86"/>
    <w:rsid w:val="00C761AC"/>
    <w:rsid w:val="00C81D79"/>
    <w:rsid w:val="00C842F3"/>
    <w:rsid w:val="00C861AC"/>
    <w:rsid w:val="00C864A9"/>
    <w:rsid w:val="00C95CCB"/>
    <w:rsid w:val="00C97119"/>
    <w:rsid w:val="00CA1CE1"/>
    <w:rsid w:val="00CA34B9"/>
    <w:rsid w:val="00CA65E1"/>
    <w:rsid w:val="00CB0A26"/>
    <w:rsid w:val="00CB5802"/>
    <w:rsid w:val="00CC2CBF"/>
    <w:rsid w:val="00CC32A9"/>
    <w:rsid w:val="00CC68D2"/>
    <w:rsid w:val="00CD40A8"/>
    <w:rsid w:val="00CE0E6F"/>
    <w:rsid w:val="00CE1524"/>
    <w:rsid w:val="00CF3BBA"/>
    <w:rsid w:val="00CF5BED"/>
    <w:rsid w:val="00CF5C7A"/>
    <w:rsid w:val="00CF6393"/>
    <w:rsid w:val="00D03B78"/>
    <w:rsid w:val="00D03C59"/>
    <w:rsid w:val="00D04240"/>
    <w:rsid w:val="00D11CD0"/>
    <w:rsid w:val="00D23C07"/>
    <w:rsid w:val="00D2633D"/>
    <w:rsid w:val="00D266A9"/>
    <w:rsid w:val="00D35000"/>
    <w:rsid w:val="00D40B0E"/>
    <w:rsid w:val="00D51267"/>
    <w:rsid w:val="00D51F5C"/>
    <w:rsid w:val="00D56D76"/>
    <w:rsid w:val="00D60A17"/>
    <w:rsid w:val="00D63BD2"/>
    <w:rsid w:val="00D7241C"/>
    <w:rsid w:val="00D80C36"/>
    <w:rsid w:val="00D836AF"/>
    <w:rsid w:val="00D84A9D"/>
    <w:rsid w:val="00D94629"/>
    <w:rsid w:val="00D97385"/>
    <w:rsid w:val="00DB1184"/>
    <w:rsid w:val="00DB579B"/>
    <w:rsid w:val="00DC3F6B"/>
    <w:rsid w:val="00DD3F34"/>
    <w:rsid w:val="00DD4C83"/>
    <w:rsid w:val="00DD581F"/>
    <w:rsid w:val="00DD7DB0"/>
    <w:rsid w:val="00DE181B"/>
    <w:rsid w:val="00DE2C32"/>
    <w:rsid w:val="00DE3F93"/>
    <w:rsid w:val="00DE4935"/>
    <w:rsid w:val="00DE544F"/>
    <w:rsid w:val="00DE5A0A"/>
    <w:rsid w:val="00DE62DF"/>
    <w:rsid w:val="00DF15D9"/>
    <w:rsid w:val="00DF75D6"/>
    <w:rsid w:val="00E00CF6"/>
    <w:rsid w:val="00E02FB7"/>
    <w:rsid w:val="00E044BE"/>
    <w:rsid w:val="00E11989"/>
    <w:rsid w:val="00E231B8"/>
    <w:rsid w:val="00E238AD"/>
    <w:rsid w:val="00E252FA"/>
    <w:rsid w:val="00E333EC"/>
    <w:rsid w:val="00E42AB4"/>
    <w:rsid w:val="00E52149"/>
    <w:rsid w:val="00E560F8"/>
    <w:rsid w:val="00E56E73"/>
    <w:rsid w:val="00E579D4"/>
    <w:rsid w:val="00E6211F"/>
    <w:rsid w:val="00E64D9B"/>
    <w:rsid w:val="00E7089D"/>
    <w:rsid w:val="00E77EF0"/>
    <w:rsid w:val="00E84043"/>
    <w:rsid w:val="00E96505"/>
    <w:rsid w:val="00EA6E1E"/>
    <w:rsid w:val="00EB6236"/>
    <w:rsid w:val="00EC594E"/>
    <w:rsid w:val="00EC7C75"/>
    <w:rsid w:val="00ED50D2"/>
    <w:rsid w:val="00ED70AB"/>
    <w:rsid w:val="00EE234D"/>
    <w:rsid w:val="00EE2A4D"/>
    <w:rsid w:val="00EE6ACF"/>
    <w:rsid w:val="00EF1816"/>
    <w:rsid w:val="00EF72A5"/>
    <w:rsid w:val="00F04185"/>
    <w:rsid w:val="00F101B3"/>
    <w:rsid w:val="00F15553"/>
    <w:rsid w:val="00F16EFF"/>
    <w:rsid w:val="00F171FB"/>
    <w:rsid w:val="00F22376"/>
    <w:rsid w:val="00F22A6D"/>
    <w:rsid w:val="00F32435"/>
    <w:rsid w:val="00F41856"/>
    <w:rsid w:val="00F42871"/>
    <w:rsid w:val="00F43C69"/>
    <w:rsid w:val="00F56820"/>
    <w:rsid w:val="00F70969"/>
    <w:rsid w:val="00F71823"/>
    <w:rsid w:val="00F7534E"/>
    <w:rsid w:val="00F81184"/>
    <w:rsid w:val="00F9750F"/>
    <w:rsid w:val="00FA1EAA"/>
    <w:rsid w:val="00FA4261"/>
    <w:rsid w:val="00FA44C9"/>
    <w:rsid w:val="00FB252B"/>
    <w:rsid w:val="00FB4B84"/>
    <w:rsid w:val="00FB724D"/>
    <w:rsid w:val="00FC4468"/>
    <w:rsid w:val="00FC61BD"/>
    <w:rsid w:val="00FC6667"/>
    <w:rsid w:val="00FD78C7"/>
    <w:rsid w:val="00FE109D"/>
    <w:rsid w:val="00FE1FF9"/>
    <w:rsid w:val="00FE7E7A"/>
    <w:rsid w:val="00FF5128"/>
    <w:rsid w:val="156B4CF8"/>
    <w:rsid w:val="31202010"/>
    <w:rsid w:val="347BAD18"/>
    <w:rsid w:val="3A6A913C"/>
    <w:rsid w:val="683B80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22BB9"/>
  <w14:defaultImageDpi w14:val="330"/>
  <w15:chartTrackingRefBased/>
  <w15:docId w15:val="{0861162C-C868-41F0-A420-49872D50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27A"/>
    <w:pPr>
      <w:spacing w:before="240" w:after="0"/>
    </w:pPr>
    <w:rPr>
      <w:rFonts w:cs="Times New Roman"/>
      <w:szCs w:val="24"/>
      <w:lang w:eastAsia="en-AU"/>
    </w:rPr>
  </w:style>
  <w:style w:type="paragraph" w:styleId="Heading1">
    <w:name w:val="heading 1"/>
    <w:basedOn w:val="Normal"/>
    <w:next w:val="Normal"/>
    <w:link w:val="Heading1Char"/>
    <w:uiPriority w:val="9"/>
    <w:qFormat/>
    <w:rsid w:val="00C44CBB"/>
    <w:pPr>
      <w:outlineLvl w:val="0"/>
    </w:pPr>
    <w:rPr>
      <w:rFonts w:cstheme="minorBidi"/>
      <w:b/>
      <w:color w:val="0066E0" w:themeColor="accent5"/>
      <w:sz w:val="36"/>
      <w:szCs w:val="22"/>
      <w:lang w:eastAsia="en-US"/>
    </w:rPr>
  </w:style>
  <w:style w:type="paragraph" w:styleId="Heading2">
    <w:name w:val="heading 2"/>
    <w:basedOn w:val="Normal"/>
    <w:next w:val="Normal"/>
    <w:link w:val="Heading2Char"/>
    <w:uiPriority w:val="9"/>
    <w:unhideWhenUsed/>
    <w:qFormat/>
    <w:rsid w:val="00C44CBB"/>
    <w:pPr>
      <w:keepNext/>
      <w:keepLines/>
      <w:outlineLvl w:val="1"/>
    </w:pPr>
    <w:rPr>
      <w:rFonts w:asciiTheme="majorHAnsi" w:eastAsiaTheme="majorEastAsia" w:hAnsiTheme="majorHAnsi" w:cstheme="majorBidi"/>
      <w:b/>
      <w:color w:val="000000" w:themeColor="text1"/>
      <w:sz w:val="30"/>
      <w:szCs w:val="26"/>
      <w:lang w:eastAsia="en-US"/>
    </w:rPr>
  </w:style>
  <w:style w:type="paragraph" w:styleId="Heading3">
    <w:name w:val="heading 3"/>
    <w:basedOn w:val="Normal"/>
    <w:next w:val="Normal"/>
    <w:link w:val="Heading3Char"/>
    <w:uiPriority w:val="9"/>
    <w:unhideWhenUsed/>
    <w:qFormat/>
    <w:rsid w:val="00C44CBB"/>
    <w:pPr>
      <w:keepNext/>
      <w:keepLines/>
      <w:outlineLvl w:val="2"/>
    </w:pPr>
    <w:rPr>
      <w:rFonts w:asciiTheme="majorHAnsi" w:eastAsiaTheme="majorEastAsia" w:hAnsiTheme="majorHAnsi" w:cstheme="majorBidi"/>
      <w:i/>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CBB"/>
    <w:rPr>
      <w:b/>
      <w:color w:val="0066E0" w:themeColor="accent5"/>
      <w:sz w:val="36"/>
    </w:rPr>
  </w:style>
  <w:style w:type="paragraph" w:styleId="ListParagraph">
    <w:name w:val="List Paragraph"/>
    <w:aliases w:val="Table bullets,Equipment,Figure_name,List Paragraph1,lp1,List Paragraph11,Numbered Indented Text,Num...,RFP SUB Points,Use Case List Paragraph,b1,Bullet for no #'s,Body Bullet,Alpha List Paragraph,List Paragraph Char Char Char"/>
    <w:basedOn w:val="Example"/>
    <w:link w:val="ListParagraphChar"/>
    <w:uiPriority w:val="34"/>
    <w:qFormat/>
    <w:rsid w:val="00011500"/>
    <w:pPr>
      <w:numPr>
        <w:numId w:val="23"/>
      </w:numPr>
      <w:spacing w:before="120" w:after="120" w:line="240" w:lineRule="auto"/>
      <w:contextualSpacing/>
    </w:pPr>
    <w:rPr>
      <w:i w:val="0"/>
    </w:rPr>
  </w:style>
  <w:style w:type="table" w:styleId="TableGrid">
    <w:name w:val="Table Grid"/>
    <w:basedOn w:val="TableNormal"/>
    <w:uiPriority w:val="59"/>
    <w:rsid w:val="00CB580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B5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594E"/>
    <w:pPr>
      <w:tabs>
        <w:tab w:val="center" w:pos="4513"/>
        <w:tab w:val="right" w:pos="9026"/>
      </w:tabs>
      <w:spacing w:line="240" w:lineRule="auto"/>
    </w:pPr>
  </w:style>
  <w:style w:type="character" w:customStyle="1" w:styleId="HeaderChar">
    <w:name w:val="Header Char"/>
    <w:basedOn w:val="DefaultParagraphFont"/>
    <w:link w:val="Header"/>
    <w:uiPriority w:val="99"/>
    <w:rsid w:val="00EC594E"/>
    <w:rPr>
      <w:rFonts w:ascii="Calibri Light" w:hAnsi="Calibri Light" w:cs="Times New Roman"/>
      <w:sz w:val="24"/>
      <w:szCs w:val="24"/>
      <w:lang w:eastAsia="en-AU"/>
    </w:rPr>
  </w:style>
  <w:style w:type="paragraph" w:styleId="Footer">
    <w:name w:val="footer"/>
    <w:basedOn w:val="Normal"/>
    <w:link w:val="FooterChar"/>
    <w:uiPriority w:val="99"/>
    <w:unhideWhenUsed/>
    <w:rsid w:val="00EC594E"/>
    <w:pPr>
      <w:tabs>
        <w:tab w:val="center" w:pos="4513"/>
        <w:tab w:val="right" w:pos="9026"/>
      </w:tabs>
      <w:spacing w:line="240" w:lineRule="auto"/>
    </w:pPr>
  </w:style>
  <w:style w:type="character" w:customStyle="1" w:styleId="FooterChar">
    <w:name w:val="Footer Char"/>
    <w:basedOn w:val="DefaultParagraphFont"/>
    <w:link w:val="Footer"/>
    <w:uiPriority w:val="99"/>
    <w:rsid w:val="00EC594E"/>
    <w:rPr>
      <w:rFonts w:ascii="Calibri Light" w:hAnsi="Calibri Light" w:cs="Times New Roman"/>
      <w:sz w:val="24"/>
      <w:szCs w:val="24"/>
      <w:lang w:eastAsia="en-AU"/>
    </w:rPr>
  </w:style>
  <w:style w:type="paragraph" w:customStyle="1" w:styleId="Default">
    <w:name w:val="Default"/>
    <w:rsid w:val="00790587"/>
    <w:pPr>
      <w:autoSpaceDE w:val="0"/>
      <w:autoSpaceDN w:val="0"/>
      <w:adjustRightInd w:val="0"/>
      <w:spacing w:after="0" w:line="240" w:lineRule="auto"/>
    </w:pPr>
    <w:rPr>
      <w:rFonts w:ascii="Isidora Sans" w:hAnsi="Isidora Sans" w:cs="Isidora Sans"/>
      <w:color w:val="000000"/>
      <w:sz w:val="24"/>
      <w:szCs w:val="24"/>
    </w:rPr>
  </w:style>
  <w:style w:type="paragraph" w:customStyle="1" w:styleId="Pa2">
    <w:name w:val="Pa2"/>
    <w:basedOn w:val="Default"/>
    <w:next w:val="Default"/>
    <w:uiPriority w:val="99"/>
    <w:rsid w:val="00790587"/>
    <w:pPr>
      <w:spacing w:line="201" w:lineRule="atLeast"/>
    </w:pPr>
    <w:rPr>
      <w:rFonts w:cstheme="minorBidi"/>
      <w:color w:val="auto"/>
    </w:rPr>
  </w:style>
  <w:style w:type="character" w:customStyle="1" w:styleId="A1">
    <w:name w:val="A1"/>
    <w:uiPriority w:val="99"/>
    <w:rsid w:val="00790587"/>
    <w:rPr>
      <w:rFonts w:cs="Isidora Sans"/>
      <w:color w:val="000000"/>
      <w:sz w:val="14"/>
      <w:szCs w:val="14"/>
    </w:rPr>
  </w:style>
  <w:style w:type="paragraph" w:customStyle="1" w:styleId="Pa4">
    <w:name w:val="Pa4"/>
    <w:basedOn w:val="Default"/>
    <w:next w:val="Default"/>
    <w:uiPriority w:val="99"/>
    <w:rsid w:val="00790587"/>
    <w:pPr>
      <w:spacing w:line="201" w:lineRule="atLeast"/>
    </w:pPr>
    <w:rPr>
      <w:rFonts w:cstheme="minorBidi"/>
      <w:color w:val="auto"/>
    </w:rPr>
  </w:style>
  <w:style w:type="paragraph" w:customStyle="1" w:styleId="Pa0">
    <w:name w:val="Pa0"/>
    <w:basedOn w:val="Default"/>
    <w:next w:val="Default"/>
    <w:uiPriority w:val="99"/>
    <w:rsid w:val="00790587"/>
    <w:pPr>
      <w:spacing w:line="201" w:lineRule="atLeast"/>
    </w:pPr>
    <w:rPr>
      <w:rFonts w:cstheme="minorBidi"/>
      <w:color w:val="auto"/>
    </w:rPr>
  </w:style>
  <w:style w:type="character" w:customStyle="1" w:styleId="A0">
    <w:name w:val="A0"/>
    <w:uiPriority w:val="99"/>
    <w:rsid w:val="00790587"/>
    <w:rPr>
      <w:rFonts w:ascii="Calibri" w:hAnsi="Calibri" w:cs="Calibri"/>
      <w:color w:val="000000"/>
      <w:sz w:val="22"/>
      <w:szCs w:val="22"/>
    </w:rPr>
  </w:style>
  <w:style w:type="paragraph" w:customStyle="1" w:styleId="Pa1">
    <w:name w:val="Pa1"/>
    <w:basedOn w:val="Default"/>
    <w:next w:val="Default"/>
    <w:uiPriority w:val="99"/>
    <w:rsid w:val="00790587"/>
    <w:pPr>
      <w:spacing w:line="201" w:lineRule="atLeast"/>
    </w:pPr>
    <w:rPr>
      <w:rFonts w:cstheme="minorBidi"/>
      <w:color w:val="auto"/>
    </w:rPr>
  </w:style>
  <w:style w:type="paragraph" w:customStyle="1" w:styleId="Pa3">
    <w:name w:val="Pa3"/>
    <w:basedOn w:val="Default"/>
    <w:next w:val="Default"/>
    <w:uiPriority w:val="99"/>
    <w:rsid w:val="00790587"/>
    <w:pPr>
      <w:spacing w:line="201" w:lineRule="atLeast"/>
    </w:pPr>
    <w:rPr>
      <w:rFonts w:cstheme="minorBidi"/>
      <w:color w:val="auto"/>
    </w:rPr>
  </w:style>
  <w:style w:type="paragraph" w:styleId="BalloonText">
    <w:name w:val="Balloon Text"/>
    <w:basedOn w:val="Normal"/>
    <w:link w:val="BalloonTextChar"/>
    <w:uiPriority w:val="99"/>
    <w:semiHidden/>
    <w:unhideWhenUsed/>
    <w:rsid w:val="00D836A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6AF"/>
    <w:rPr>
      <w:rFonts w:ascii="Segoe UI" w:hAnsi="Segoe UI" w:cs="Segoe UI"/>
      <w:sz w:val="18"/>
      <w:szCs w:val="18"/>
      <w:lang w:eastAsia="en-AU"/>
    </w:rPr>
  </w:style>
  <w:style w:type="character" w:styleId="Hyperlink">
    <w:name w:val="Hyperlink"/>
    <w:basedOn w:val="DefaultParagraphFont"/>
    <w:uiPriority w:val="99"/>
    <w:unhideWhenUsed/>
    <w:rsid w:val="000A5E86"/>
    <w:rPr>
      <w:color w:val="8CD924" w:themeColor="hyperlink"/>
      <w:u w:val="single"/>
    </w:rPr>
  </w:style>
  <w:style w:type="paragraph" w:styleId="Title">
    <w:name w:val="Title"/>
    <w:basedOn w:val="Normal"/>
    <w:next w:val="Normal"/>
    <w:link w:val="TitleChar"/>
    <w:uiPriority w:val="10"/>
    <w:qFormat/>
    <w:rsid w:val="00C44CBB"/>
    <w:pPr>
      <w:spacing w:before="720" w:line="240" w:lineRule="auto"/>
      <w:contextualSpacing/>
    </w:pPr>
    <w:rPr>
      <w:rFonts w:asciiTheme="majorHAnsi" w:eastAsiaTheme="majorEastAsia" w:hAnsiTheme="majorHAnsi" w:cstheme="majorBidi"/>
      <w:b/>
      <w:spacing w:val="-10"/>
      <w:kern w:val="28"/>
      <w:sz w:val="72"/>
      <w:szCs w:val="56"/>
    </w:rPr>
  </w:style>
  <w:style w:type="character" w:customStyle="1" w:styleId="TitleChar">
    <w:name w:val="Title Char"/>
    <w:basedOn w:val="DefaultParagraphFont"/>
    <w:link w:val="Title"/>
    <w:uiPriority w:val="10"/>
    <w:rsid w:val="00C44CBB"/>
    <w:rPr>
      <w:rFonts w:asciiTheme="majorHAnsi" w:eastAsiaTheme="majorEastAsia" w:hAnsiTheme="majorHAnsi" w:cstheme="majorBidi"/>
      <w:b/>
      <w:spacing w:val="-10"/>
      <w:kern w:val="28"/>
      <w:sz w:val="72"/>
      <w:szCs w:val="56"/>
      <w:lang w:eastAsia="en-AU"/>
    </w:rPr>
  </w:style>
  <w:style w:type="character" w:styleId="FollowedHyperlink">
    <w:name w:val="FollowedHyperlink"/>
    <w:basedOn w:val="DefaultParagraphFont"/>
    <w:uiPriority w:val="99"/>
    <w:semiHidden/>
    <w:unhideWhenUsed/>
    <w:rsid w:val="00712D5A"/>
    <w:rPr>
      <w:color w:val="8CD924" w:themeColor="followedHyperlink"/>
      <w:u w:val="single"/>
    </w:rPr>
  </w:style>
  <w:style w:type="character" w:styleId="Emphasis">
    <w:name w:val="Emphasis"/>
    <w:basedOn w:val="DefaultParagraphFont"/>
    <w:uiPriority w:val="20"/>
    <w:qFormat/>
    <w:rsid w:val="00712D5A"/>
    <w:rPr>
      <w:i/>
      <w:iCs/>
    </w:rPr>
  </w:style>
  <w:style w:type="character" w:styleId="CommentReference">
    <w:name w:val="annotation reference"/>
    <w:basedOn w:val="DefaultParagraphFont"/>
    <w:unhideWhenUsed/>
    <w:rsid w:val="000F3F86"/>
    <w:rPr>
      <w:sz w:val="16"/>
      <w:szCs w:val="16"/>
    </w:rPr>
  </w:style>
  <w:style w:type="paragraph" w:styleId="CommentText">
    <w:name w:val="annotation text"/>
    <w:basedOn w:val="Normal"/>
    <w:link w:val="CommentTextChar"/>
    <w:uiPriority w:val="99"/>
    <w:unhideWhenUsed/>
    <w:rsid w:val="000F3F86"/>
    <w:pPr>
      <w:spacing w:line="240" w:lineRule="auto"/>
    </w:pPr>
    <w:rPr>
      <w:sz w:val="20"/>
      <w:szCs w:val="20"/>
    </w:rPr>
  </w:style>
  <w:style w:type="character" w:customStyle="1" w:styleId="CommentTextChar">
    <w:name w:val="Comment Text Char"/>
    <w:basedOn w:val="DefaultParagraphFont"/>
    <w:link w:val="CommentText"/>
    <w:uiPriority w:val="99"/>
    <w:rsid w:val="000F3F86"/>
    <w:rPr>
      <w:rFonts w:ascii="Calibri Light"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F3F86"/>
    <w:rPr>
      <w:b/>
      <w:bCs/>
    </w:rPr>
  </w:style>
  <w:style w:type="character" w:customStyle="1" w:styleId="CommentSubjectChar">
    <w:name w:val="Comment Subject Char"/>
    <w:basedOn w:val="CommentTextChar"/>
    <w:link w:val="CommentSubject"/>
    <w:uiPriority w:val="99"/>
    <w:semiHidden/>
    <w:rsid w:val="000F3F86"/>
    <w:rPr>
      <w:rFonts w:ascii="Calibri Light" w:hAnsi="Calibri Light" w:cs="Times New Roman"/>
      <w:b/>
      <w:bCs/>
      <w:sz w:val="20"/>
      <w:szCs w:val="20"/>
      <w:lang w:eastAsia="en-AU"/>
    </w:rPr>
  </w:style>
  <w:style w:type="character" w:customStyle="1" w:styleId="Heading2Char">
    <w:name w:val="Heading 2 Char"/>
    <w:basedOn w:val="DefaultParagraphFont"/>
    <w:link w:val="Heading2"/>
    <w:uiPriority w:val="9"/>
    <w:rsid w:val="00C44CBB"/>
    <w:rPr>
      <w:rFonts w:asciiTheme="majorHAnsi" w:eastAsiaTheme="majorEastAsia" w:hAnsiTheme="majorHAnsi" w:cstheme="majorBidi"/>
      <w:b/>
      <w:color w:val="000000" w:themeColor="text1"/>
      <w:sz w:val="30"/>
      <w:szCs w:val="26"/>
    </w:rPr>
  </w:style>
  <w:style w:type="character" w:customStyle="1" w:styleId="Heading3Char">
    <w:name w:val="Heading 3 Char"/>
    <w:basedOn w:val="DefaultParagraphFont"/>
    <w:link w:val="Heading3"/>
    <w:uiPriority w:val="9"/>
    <w:rsid w:val="00C44CBB"/>
    <w:rPr>
      <w:rFonts w:asciiTheme="majorHAnsi" w:eastAsiaTheme="majorEastAsia" w:hAnsiTheme="majorHAnsi" w:cstheme="majorBidi"/>
      <w:i/>
      <w:color w:val="000000" w:themeColor="text1"/>
      <w:sz w:val="26"/>
      <w:szCs w:val="24"/>
      <w:lang w:eastAsia="en-AU"/>
    </w:rPr>
  </w:style>
  <w:style w:type="paragraph" w:customStyle="1" w:styleId="Example">
    <w:name w:val="Example"/>
    <w:basedOn w:val="Normal"/>
    <w:link w:val="ExampleChar"/>
    <w:qFormat/>
    <w:rsid w:val="004A127A"/>
    <w:rPr>
      <w:rFonts w:cstheme="minorHAnsi"/>
      <w:i/>
      <w:color w:val="000000" w:themeColor="text1"/>
    </w:rPr>
  </w:style>
  <w:style w:type="paragraph" w:customStyle="1" w:styleId="substyle">
    <w:name w:val="substyle"/>
    <w:basedOn w:val="Heading2"/>
    <w:link w:val="substyleChar"/>
    <w:qFormat/>
    <w:rsid w:val="009A6DF8"/>
    <w:rPr>
      <w:sz w:val="26"/>
    </w:rPr>
  </w:style>
  <w:style w:type="character" w:customStyle="1" w:styleId="ExampleChar">
    <w:name w:val="Example Char"/>
    <w:basedOn w:val="DefaultParagraphFont"/>
    <w:link w:val="Example"/>
    <w:rsid w:val="004A127A"/>
    <w:rPr>
      <w:rFonts w:cstheme="minorHAnsi"/>
      <w:i/>
      <w:color w:val="000000" w:themeColor="text1"/>
      <w:szCs w:val="24"/>
      <w:lang w:eastAsia="en-AU"/>
    </w:rPr>
  </w:style>
  <w:style w:type="character" w:customStyle="1" w:styleId="substyleChar">
    <w:name w:val="substyle Char"/>
    <w:basedOn w:val="Heading2Char"/>
    <w:link w:val="substyle"/>
    <w:rsid w:val="009A6DF8"/>
    <w:rPr>
      <w:rFonts w:asciiTheme="majorHAnsi" w:eastAsiaTheme="majorEastAsia" w:hAnsiTheme="majorHAnsi" w:cstheme="majorBidi"/>
      <w:b/>
      <w:color w:val="00BF57" w:themeColor="accent3"/>
      <w:sz w:val="26"/>
      <w:szCs w:val="26"/>
      <w:lang w:eastAsia="en-AU"/>
    </w:rPr>
  </w:style>
  <w:style w:type="paragraph" w:customStyle="1" w:styleId="headingforexamples">
    <w:name w:val="heading for examples"/>
    <w:basedOn w:val="substyle"/>
    <w:link w:val="headingforexamplesChar"/>
    <w:qFormat/>
    <w:rsid w:val="00AB5896"/>
    <w:rPr>
      <w:color w:val="0066E0" w:themeColor="accent5"/>
      <w:sz w:val="22"/>
    </w:rPr>
  </w:style>
  <w:style w:type="character" w:customStyle="1" w:styleId="headingforexamplesChar">
    <w:name w:val="heading for examples Char"/>
    <w:basedOn w:val="substyleChar"/>
    <w:link w:val="headingforexamples"/>
    <w:rsid w:val="00AB5896"/>
    <w:rPr>
      <w:rFonts w:asciiTheme="majorHAnsi" w:eastAsiaTheme="majorEastAsia" w:hAnsiTheme="majorHAnsi" w:cstheme="majorBidi"/>
      <w:b/>
      <w:color w:val="0066E0" w:themeColor="accent5"/>
      <w:sz w:val="26"/>
      <w:szCs w:val="26"/>
      <w:lang w:eastAsia="en-AU"/>
    </w:rPr>
  </w:style>
  <w:style w:type="paragraph" w:styleId="Revision">
    <w:name w:val="Revision"/>
    <w:hidden/>
    <w:uiPriority w:val="99"/>
    <w:semiHidden/>
    <w:rsid w:val="005350DA"/>
    <w:pPr>
      <w:spacing w:after="0" w:line="240" w:lineRule="auto"/>
    </w:pPr>
    <w:rPr>
      <w:rFonts w:cs="Times New Roman"/>
      <w:szCs w:val="24"/>
      <w:lang w:eastAsia="en-AU"/>
    </w:rPr>
  </w:style>
  <w:style w:type="paragraph" w:customStyle="1" w:styleId="Bullet11">
    <w:name w:val="Bullet 1.1"/>
    <w:basedOn w:val="ListParagraph"/>
    <w:link w:val="Bullet11Char"/>
    <w:qFormat/>
    <w:rsid w:val="00C44CBB"/>
    <w:pPr>
      <w:numPr>
        <w:ilvl w:val="1"/>
        <w:numId w:val="15"/>
      </w:numPr>
    </w:pPr>
  </w:style>
  <w:style w:type="character" w:customStyle="1" w:styleId="ListParagraphChar">
    <w:name w:val="List Paragraph Char"/>
    <w:aliases w:val="Table bullets Char,Equipment Char,Figure_name Char,List Paragraph1 Char,lp1 Char,List Paragraph11 Char,Numbered Indented Text Char,Num... Char,RFP SUB Points Char,Use Case List Paragraph Char,b1 Char,Bullet for no #'s Char"/>
    <w:basedOn w:val="ExampleChar"/>
    <w:link w:val="ListParagraph"/>
    <w:uiPriority w:val="34"/>
    <w:rsid w:val="00011500"/>
    <w:rPr>
      <w:rFonts w:cstheme="minorHAnsi"/>
      <w:i w:val="0"/>
      <w:color w:val="000000" w:themeColor="text1"/>
      <w:szCs w:val="24"/>
      <w:lang w:eastAsia="en-AU"/>
    </w:rPr>
  </w:style>
  <w:style w:type="character" w:customStyle="1" w:styleId="Bullet11Char">
    <w:name w:val="Bullet 1.1 Char"/>
    <w:basedOn w:val="ListParagraphChar"/>
    <w:link w:val="Bullet11"/>
    <w:rsid w:val="00C44CBB"/>
    <w:rPr>
      <w:rFonts w:cstheme="minorHAnsi"/>
      <w:i w:val="0"/>
      <w:color w:val="000000" w:themeColor="text1"/>
      <w:szCs w:val="24"/>
      <w:lang w:eastAsia="en-AU"/>
    </w:rPr>
  </w:style>
  <w:style w:type="paragraph" w:customStyle="1" w:styleId="Tableheading1">
    <w:name w:val="Table heading 1"/>
    <w:basedOn w:val="substyle"/>
    <w:link w:val="Tableheading1Char"/>
    <w:qFormat/>
    <w:rsid w:val="00902A04"/>
    <w:pPr>
      <w:widowControl w:val="0"/>
      <w:spacing w:before="40" w:after="40" w:line="240" w:lineRule="auto"/>
      <w:outlineLvl w:val="9"/>
    </w:pPr>
    <w:rPr>
      <w:lang w:val="en-US"/>
    </w:rPr>
  </w:style>
  <w:style w:type="character" w:customStyle="1" w:styleId="Tableheading1Char">
    <w:name w:val="Table heading 1 Char"/>
    <w:basedOn w:val="substyleChar"/>
    <w:link w:val="Tableheading1"/>
    <w:rsid w:val="00902A04"/>
    <w:rPr>
      <w:rFonts w:asciiTheme="majorHAnsi" w:eastAsiaTheme="majorEastAsia" w:hAnsiTheme="majorHAnsi" w:cstheme="majorBidi"/>
      <w:b/>
      <w:color w:val="00BF57" w:themeColor="accent3"/>
      <w:sz w:val="26"/>
      <w:szCs w:val="26"/>
      <w:lang w:val="en-US" w:eastAsia="en-AU"/>
    </w:rPr>
  </w:style>
  <w:style w:type="paragraph" w:styleId="TOCHeading">
    <w:name w:val="TOC Heading"/>
    <w:basedOn w:val="Heading1"/>
    <w:next w:val="Normal"/>
    <w:uiPriority w:val="39"/>
    <w:unhideWhenUsed/>
    <w:qFormat/>
    <w:rsid w:val="00B46004"/>
    <w:pPr>
      <w:keepNext/>
      <w:keepLines/>
      <w:spacing w:line="259" w:lineRule="auto"/>
      <w:outlineLvl w:val="9"/>
    </w:pPr>
    <w:rPr>
      <w:rFonts w:asciiTheme="majorHAnsi" w:eastAsiaTheme="majorEastAsia" w:hAnsiTheme="majorHAnsi" w:cstheme="majorBidi"/>
      <w:szCs w:val="32"/>
      <w:lang w:val="en-US"/>
    </w:rPr>
  </w:style>
  <w:style w:type="paragraph" w:styleId="TOC1">
    <w:name w:val="toc 1"/>
    <w:basedOn w:val="Normal"/>
    <w:next w:val="Normal"/>
    <w:autoRedefine/>
    <w:uiPriority w:val="39"/>
    <w:unhideWhenUsed/>
    <w:rsid w:val="00B46004"/>
    <w:pPr>
      <w:spacing w:after="100"/>
    </w:pPr>
  </w:style>
  <w:style w:type="paragraph" w:styleId="TOC2">
    <w:name w:val="toc 2"/>
    <w:basedOn w:val="Normal"/>
    <w:next w:val="Normal"/>
    <w:autoRedefine/>
    <w:uiPriority w:val="39"/>
    <w:unhideWhenUsed/>
    <w:rsid w:val="00B46004"/>
    <w:pPr>
      <w:spacing w:after="100"/>
      <w:ind w:left="220"/>
    </w:pPr>
  </w:style>
  <w:style w:type="paragraph" w:styleId="TOC3">
    <w:name w:val="toc 3"/>
    <w:basedOn w:val="Normal"/>
    <w:next w:val="Normal"/>
    <w:autoRedefine/>
    <w:uiPriority w:val="39"/>
    <w:unhideWhenUsed/>
    <w:rsid w:val="00B46004"/>
    <w:pPr>
      <w:spacing w:after="100"/>
      <w:ind w:left="440"/>
    </w:pPr>
  </w:style>
  <w:style w:type="table" w:styleId="ListTable3-Accent5">
    <w:name w:val="List Table 3 Accent 5"/>
    <w:basedOn w:val="TableNormal"/>
    <w:uiPriority w:val="48"/>
    <w:rsid w:val="000E24FB"/>
    <w:pPr>
      <w:spacing w:after="0" w:line="240" w:lineRule="auto"/>
    </w:pPr>
    <w:tblPr>
      <w:tblStyleRowBandSize w:val="1"/>
      <w:tblStyleColBandSize w:val="1"/>
      <w:tblBorders>
        <w:top w:val="single" w:sz="4" w:space="0" w:color="0066E0" w:themeColor="accent5"/>
        <w:left w:val="single" w:sz="4" w:space="0" w:color="0066E0" w:themeColor="accent5"/>
        <w:bottom w:val="single" w:sz="4" w:space="0" w:color="0066E0" w:themeColor="accent5"/>
        <w:right w:val="single" w:sz="4" w:space="0" w:color="0066E0" w:themeColor="accent5"/>
      </w:tblBorders>
    </w:tblPr>
    <w:tblStylePr w:type="firstRow">
      <w:rPr>
        <w:b/>
        <w:bCs/>
        <w:color w:val="FFFFFF" w:themeColor="background1"/>
      </w:rPr>
      <w:tblPr/>
      <w:tcPr>
        <w:shd w:val="clear" w:color="auto" w:fill="0066E0" w:themeFill="accent5"/>
      </w:tcPr>
    </w:tblStylePr>
    <w:tblStylePr w:type="lastRow">
      <w:rPr>
        <w:b/>
        <w:bCs/>
      </w:rPr>
      <w:tblPr/>
      <w:tcPr>
        <w:tcBorders>
          <w:top w:val="double" w:sz="4" w:space="0" w:color="0066E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E0" w:themeColor="accent5"/>
          <w:right w:val="single" w:sz="4" w:space="0" w:color="0066E0" w:themeColor="accent5"/>
        </w:tcBorders>
      </w:tcPr>
    </w:tblStylePr>
    <w:tblStylePr w:type="band1Horz">
      <w:tblPr/>
      <w:tcPr>
        <w:tcBorders>
          <w:top w:val="single" w:sz="4" w:space="0" w:color="0066E0" w:themeColor="accent5"/>
          <w:bottom w:val="single" w:sz="4" w:space="0" w:color="0066E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E0" w:themeColor="accent5"/>
          <w:left w:val="nil"/>
        </w:tcBorders>
      </w:tcPr>
    </w:tblStylePr>
    <w:tblStylePr w:type="swCell">
      <w:tblPr/>
      <w:tcPr>
        <w:tcBorders>
          <w:top w:val="double" w:sz="4" w:space="0" w:color="0066E0" w:themeColor="accent5"/>
          <w:right w:val="nil"/>
        </w:tcBorders>
      </w:tcPr>
    </w:tblStylePr>
  </w:style>
  <w:style w:type="paragraph" w:customStyle="1" w:styleId="Tabletext">
    <w:name w:val="Table  text"/>
    <w:basedOn w:val="Normal"/>
    <w:link w:val="TabletextChar"/>
    <w:qFormat/>
    <w:rsid w:val="00011500"/>
    <w:pPr>
      <w:spacing w:before="120" w:after="120" w:line="240" w:lineRule="auto"/>
    </w:pPr>
  </w:style>
  <w:style w:type="character" w:customStyle="1" w:styleId="TabletextChar">
    <w:name w:val="Table  text Char"/>
    <w:basedOn w:val="DefaultParagraphFont"/>
    <w:link w:val="Tabletext"/>
    <w:rsid w:val="00011500"/>
    <w:rPr>
      <w:rFonts w:cs="Times New Roman"/>
      <w:szCs w:val="24"/>
      <w:lang w:eastAsia="en-AU"/>
    </w:rPr>
  </w:style>
  <w:style w:type="paragraph" w:styleId="FootnoteText">
    <w:name w:val="footnote text"/>
    <w:basedOn w:val="Normal"/>
    <w:link w:val="FootnoteTextChar"/>
    <w:uiPriority w:val="99"/>
    <w:semiHidden/>
    <w:unhideWhenUsed/>
    <w:rsid w:val="00A71B6F"/>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A71B6F"/>
    <w:rPr>
      <w:rFonts w:cs="Times New Roman"/>
      <w:sz w:val="20"/>
      <w:szCs w:val="20"/>
      <w:lang w:eastAsia="en-AU"/>
    </w:rPr>
  </w:style>
  <w:style w:type="character" w:styleId="FootnoteReference">
    <w:name w:val="footnote reference"/>
    <w:basedOn w:val="DefaultParagraphFont"/>
    <w:uiPriority w:val="99"/>
    <w:semiHidden/>
    <w:unhideWhenUsed/>
    <w:rsid w:val="00A71B6F"/>
    <w:rPr>
      <w:vertAlign w:val="superscript"/>
    </w:rPr>
  </w:style>
  <w:style w:type="character" w:styleId="Mention">
    <w:name w:val="Mention"/>
    <w:basedOn w:val="DefaultParagraphFont"/>
    <w:uiPriority w:val="99"/>
    <w:unhideWhenUsed/>
    <w:rsid w:val="00E333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80451">
      <w:bodyDiv w:val="1"/>
      <w:marLeft w:val="0"/>
      <w:marRight w:val="0"/>
      <w:marTop w:val="0"/>
      <w:marBottom w:val="0"/>
      <w:divBdr>
        <w:top w:val="none" w:sz="0" w:space="0" w:color="auto"/>
        <w:left w:val="none" w:sz="0" w:space="0" w:color="auto"/>
        <w:bottom w:val="none" w:sz="0" w:space="0" w:color="auto"/>
        <w:right w:val="none" w:sz="0" w:space="0" w:color="auto"/>
      </w:divBdr>
      <w:divsChild>
        <w:div w:id="1545021904">
          <w:marLeft w:val="0"/>
          <w:marRight w:val="0"/>
          <w:marTop w:val="0"/>
          <w:marBottom w:val="0"/>
          <w:divBdr>
            <w:top w:val="none" w:sz="0" w:space="0" w:color="auto"/>
            <w:left w:val="none" w:sz="0" w:space="0" w:color="auto"/>
            <w:bottom w:val="none" w:sz="0" w:space="0" w:color="auto"/>
            <w:right w:val="none" w:sz="0" w:space="0" w:color="auto"/>
          </w:divBdr>
          <w:divsChild>
            <w:div w:id="613562751">
              <w:marLeft w:val="0"/>
              <w:marRight w:val="0"/>
              <w:marTop w:val="576"/>
              <w:marBottom w:val="576"/>
              <w:divBdr>
                <w:top w:val="single" w:sz="12" w:space="0" w:color="F0F3F5"/>
                <w:left w:val="single" w:sz="12" w:space="0" w:color="F0F3F5"/>
                <w:bottom w:val="single" w:sz="12" w:space="0" w:color="F0F3F5"/>
                <w:right w:val="single" w:sz="12" w:space="0" w:color="F0F3F5"/>
              </w:divBdr>
            </w:div>
          </w:divsChild>
        </w:div>
      </w:divsChild>
    </w:div>
    <w:div w:id="938677625">
      <w:bodyDiv w:val="1"/>
      <w:marLeft w:val="0"/>
      <w:marRight w:val="0"/>
      <w:marTop w:val="0"/>
      <w:marBottom w:val="0"/>
      <w:divBdr>
        <w:top w:val="none" w:sz="0" w:space="0" w:color="auto"/>
        <w:left w:val="none" w:sz="0" w:space="0" w:color="auto"/>
        <w:bottom w:val="none" w:sz="0" w:space="0" w:color="auto"/>
        <w:right w:val="none" w:sz="0" w:space="0" w:color="auto"/>
      </w:divBdr>
      <w:divsChild>
        <w:div w:id="1852836256">
          <w:marLeft w:val="0"/>
          <w:marRight w:val="0"/>
          <w:marTop w:val="360"/>
          <w:marBottom w:val="360"/>
          <w:divBdr>
            <w:top w:val="none" w:sz="0" w:space="0" w:color="auto"/>
            <w:left w:val="none" w:sz="0" w:space="0" w:color="auto"/>
            <w:bottom w:val="none" w:sz="0" w:space="0" w:color="auto"/>
            <w:right w:val="none" w:sz="0" w:space="0" w:color="auto"/>
          </w:divBdr>
          <w:divsChild>
            <w:div w:id="520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46299">
      <w:bodyDiv w:val="1"/>
      <w:marLeft w:val="0"/>
      <w:marRight w:val="0"/>
      <w:marTop w:val="0"/>
      <w:marBottom w:val="0"/>
      <w:divBdr>
        <w:top w:val="none" w:sz="0" w:space="0" w:color="auto"/>
        <w:left w:val="none" w:sz="0" w:space="0" w:color="auto"/>
        <w:bottom w:val="none" w:sz="0" w:space="0" w:color="auto"/>
        <w:right w:val="none" w:sz="0" w:space="0" w:color="auto"/>
      </w:divBdr>
      <w:divsChild>
        <w:div w:id="1999846500">
          <w:marLeft w:val="0"/>
          <w:marRight w:val="0"/>
          <w:marTop w:val="360"/>
          <w:marBottom w:val="360"/>
          <w:divBdr>
            <w:top w:val="none" w:sz="0" w:space="0" w:color="auto"/>
            <w:left w:val="none" w:sz="0" w:space="0" w:color="auto"/>
            <w:bottom w:val="none" w:sz="0" w:space="0" w:color="auto"/>
            <w:right w:val="none" w:sz="0" w:space="0" w:color="auto"/>
          </w:divBdr>
          <w:divsChild>
            <w:div w:id="9328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84">
      <w:bodyDiv w:val="1"/>
      <w:marLeft w:val="0"/>
      <w:marRight w:val="0"/>
      <w:marTop w:val="0"/>
      <w:marBottom w:val="0"/>
      <w:divBdr>
        <w:top w:val="none" w:sz="0" w:space="0" w:color="auto"/>
        <w:left w:val="none" w:sz="0" w:space="0" w:color="auto"/>
        <w:bottom w:val="none" w:sz="0" w:space="0" w:color="auto"/>
        <w:right w:val="none" w:sz="0" w:space="0" w:color="auto"/>
      </w:divBdr>
    </w:div>
    <w:div w:id="1971588019">
      <w:bodyDiv w:val="1"/>
      <w:marLeft w:val="0"/>
      <w:marRight w:val="0"/>
      <w:marTop w:val="0"/>
      <w:marBottom w:val="0"/>
      <w:divBdr>
        <w:top w:val="none" w:sz="0" w:space="0" w:color="auto"/>
        <w:left w:val="none" w:sz="0" w:space="0" w:color="auto"/>
        <w:bottom w:val="none" w:sz="0" w:space="0" w:color="auto"/>
        <w:right w:val="none" w:sz="0" w:space="0" w:color="auto"/>
      </w:divBdr>
      <w:divsChild>
        <w:div w:id="877274671">
          <w:marLeft w:val="0"/>
          <w:marRight w:val="0"/>
          <w:marTop w:val="0"/>
          <w:marBottom w:val="0"/>
          <w:divBdr>
            <w:top w:val="none" w:sz="0" w:space="0" w:color="auto"/>
            <w:left w:val="none" w:sz="0" w:space="0" w:color="auto"/>
            <w:bottom w:val="none" w:sz="0" w:space="0" w:color="auto"/>
            <w:right w:val="none" w:sz="0" w:space="0" w:color="auto"/>
          </w:divBdr>
          <w:divsChild>
            <w:div w:id="2073504349">
              <w:marLeft w:val="0"/>
              <w:marRight w:val="0"/>
              <w:marTop w:val="576"/>
              <w:marBottom w:val="576"/>
              <w:divBdr>
                <w:top w:val="single" w:sz="12" w:space="0" w:color="F0F3F5"/>
                <w:left w:val="single" w:sz="12" w:space="0" w:color="F0F3F5"/>
                <w:bottom w:val="single" w:sz="12" w:space="0" w:color="F0F3F5"/>
                <w:right w:val="single" w:sz="12" w:space="0" w:color="F0F3F5"/>
              </w:divBdr>
            </w:div>
          </w:divsChild>
        </w:div>
      </w:divsChild>
    </w:div>
    <w:div w:id="2106462111">
      <w:bodyDiv w:val="1"/>
      <w:marLeft w:val="0"/>
      <w:marRight w:val="0"/>
      <w:marTop w:val="0"/>
      <w:marBottom w:val="0"/>
      <w:divBdr>
        <w:top w:val="none" w:sz="0" w:space="0" w:color="auto"/>
        <w:left w:val="none" w:sz="0" w:space="0" w:color="auto"/>
        <w:bottom w:val="none" w:sz="0" w:space="0" w:color="auto"/>
        <w:right w:val="none" w:sz="0" w:space="0" w:color="auto"/>
      </w:divBdr>
      <w:divsChild>
        <w:div w:id="357119698">
          <w:marLeft w:val="0"/>
          <w:marRight w:val="0"/>
          <w:marTop w:val="360"/>
          <w:marBottom w:val="360"/>
          <w:divBdr>
            <w:top w:val="none" w:sz="0" w:space="0" w:color="auto"/>
            <w:left w:val="none" w:sz="0" w:space="0" w:color="auto"/>
            <w:bottom w:val="none" w:sz="0" w:space="0" w:color="auto"/>
            <w:right w:val="none" w:sz="0" w:space="0" w:color="auto"/>
          </w:divBdr>
          <w:divsChild>
            <w:div w:id="11896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eystart.com.au/loans/low-deposit-home-loa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eystart.com.au/target-market-determinat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itle Slide">
  <a:themeElements>
    <a:clrScheme name="Custom 3">
      <a:dk1>
        <a:srgbClr val="000000"/>
      </a:dk1>
      <a:lt1>
        <a:srgbClr val="FFFFFF"/>
      </a:lt1>
      <a:dk2>
        <a:srgbClr val="FC42A8"/>
      </a:dk2>
      <a:lt2>
        <a:srgbClr val="4017A1"/>
      </a:lt2>
      <a:accent1>
        <a:srgbClr val="FC384A"/>
      </a:accent1>
      <a:accent2>
        <a:srgbClr val="FAB040"/>
      </a:accent2>
      <a:accent3>
        <a:srgbClr val="00BF57"/>
      </a:accent3>
      <a:accent4>
        <a:srgbClr val="ADDED9"/>
      </a:accent4>
      <a:accent5>
        <a:srgbClr val="0066E0"/>
      </a:accent5>
      <a:accent6>
        <a:srgbClr val="8C4FD9"/>
      </a:accent6>
      <a:hlink>
        <a:srgbClr val="8CD924"/>
      </a:hlink>
      <a:folHlink>
        <a:srgbClr val="8CD92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2019_template_v3 [Read-Only]" id="{DBE059B1-E355-4577-AFB1-AB203C620989}" vid="{5F360D2F-897F-455B-A680-EC9438401CF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e51d522-6623-416b-b365-224f9bd6d40b" xsi:nil="true"/>
    <lcf76f155ced4ddcb4097134ff3c332f xmlns="46f8ce8f-9cc3-491d-99cd-b3a195ccc778">
      <Terms xmlns="http://schemas.microsoft.com/office/infopath/2007/PartnerControls"/>
    </lcf76f155ced4ddcb4097134ff3c332f>
    <SharedWithUsers xmlns="4e51d522-6623-416b-b365-224f9bd6d40b">
      <UserInfo>
        <DisplayName>Nicole Fraser</DisplayName>
        <AccountId>22</AccountId>
        <AccountType/>
      </UserInfo>
      <UserInfo>
        <DisplayName>Preet Dhillon</DisplayName>
        <AccountId>19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228F08B0817C4B80E1220D2C1717C3" ma:contentTypeVersion="18" ma:contentTypeDescription="Create a new document." ma:contentTypeScope="" ma:versionID="27d55dd369c755fa2f5521e3b8dbf327">
  <xsd:schema xmlns:xsd="http://www.w3.org/2001/XMLSchema" xmlns:xs="http://www.w3.org/2001/XMLSchema" xmlns:p="http://schemas.microsoft.com/office/2006/metadata/properties" xmlns:ns2="46f8ce8f-9cc3-491d-99cd-b3a195ccc778" xmlns:ns3="4e51d522-6623-416b-b365-224f9bd6d40b" targetNamespace="http://schemas.microsoft.com/office/2006/metadata/properties" ma:root="true" ma:fieldsID="96ea156ca4f45a15bca79b037d1cc6ad" ns2:_="" ns3:_="">
    <xsd:import namespace="46f8ce8f-9cc3-491d-99cd-b3a195ccc778"/>
    <xsd:import namespace="4e51d522-6623-416b-b365-224f9bd6d4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8ce8f-9cc3-491d-99cd-b3a195ccc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618a392-7865-4794-90f1-75851154c88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51d522-6623-416b-b365-224f9bd6d40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de01033-eb09-4ac6-9b1c-3ab69f6c7370}" ma:internalName="TaxCatchAll" ma:showField="CatchAllData" ma:web="4e51d522-6623-416b-b365-224f9bd6d40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4DBF3-6D4D-44D2-A586-DE77A5BD1DD4}">
  <ds:schemaRefs>
    <ds:schemaRef ds:uri="http://schemas.microsoft.com/sharepoint/v3/contenttype/forms"/>
  </ds:schemaRefs>
</ds:datastoreItem>
</file>

<file path=customXml/itemProps2.xml><?xml version="1.0" encoding="utf-8"?>
<ds:datastoreItem xmlns:ds="http://schemas.openxmlformats.org/officeDocument/2006/customXml" ds:itemID="{019032FF-DDF6-4D9B-893E-BC27F7176510}">
  <ds:schemaRefs>
    <ds:schemaRef ds:uri="http://schemas.microsoft.com/office/2006/metadata/properties"/>
    <ds:schemaRef ds:uri="46f8ce8f-9cc3-491d-99cd-b3a195ccc778"/>
    <ds:schemaRef ds:uri="http://www.w3.org/XML/1998/namespace"/>
    <ds:schemaRef ds:uri="4e51d522-6623-416b-b365-224f9bd6d40b"/>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21840C54-C627-4F40-A314-F160A048A36E}">
  <ds:schemaRefs>
    <ds:schemaRef ds:uri="http://schemas.openxmlformats.org/officeDocument/2006/bibliography"/>
  </ds:schemaRefs>
</ds:datastoreItem>
</file>

<file path=customXml/itemProps4.xml><?xml version="1.0" encoding="utf-8"?>
<ds:datastoreItem xmlns:ds="http://schemas.openxmlformats.org/officeDocument/2006/customXml" ds:itemID="{B90F22BB-CF1D-4C69-BC26-D82B43D2A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8ce8f-9cc3-491d-99cd-b3a195ccc778"/>
    <ds:schemaRef ds:uri="4e51d522-6623-416b-b365-224f9bd6d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1412</Words>
  <Characters>8055</Characters>
  <Application>Microsoft Office Word</Application>
  <DocSecurity>0</DocSecurity>
  <Lines>67</Lines>
  <Paragraphs>18</Paragraphs>
  <ScaleCrop>false</ScaleCrop>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Broderick</dc:creator>
  <cp:keywords/>
  <dc:description/>
  <cp:lastModifiedBy>Nanda Aung</cp:lastModifiedBy>
  <cp:revision>2</cp:revision>
  <cp:lastPrinted>2019-05-30T06:56:00Z</cp:lastPrinted>
  <dcterms:created xsi:type="dcterms:W3CDTF">2025-06-26T03:28:00Z</dcterms:created>
  <dcterms:modified xsi:type="dcterms:W3CDTF">2025-06-26T03:28:00Z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Class">
    <vt:lpwstr>GD</vt:lpwstr>
  </property>
  <property fmtid="{D5CDD505-2E9C-101B-9397-08002B2CF9AE}" pid="3" name="nrDatabase">
    <vt:lpwstr>Documents</vt:lpwstr>
  </property>
  <property fmtid="{D5CDD505-2E9C-101B-9397-08002B2CF9AE}" pid="4" name="nrDescription">
    <vt:lpwstr>Target Market Determination Low Deposit Home Loan Final Version (Dentons comments)</vt:lpwstr>
  </property>
  <property fmtid="{D5CDD505-2E9C-101B-9397-08002B2CF9AE}" pid="5" name="nrName">
    <vt:lpwstr/>
  </property>
  <property fmtid="{D5CDD505-2E9C-101B-9397-08002B2CF9AE}" pid="6" name="nrDocNum">
    <vt:lpwstr>94440369</vt:lpwstr>
  </property>
  <property fmtid="{D5CDD505-2E9C-101B-9397-08002B2CF9AE}" pid="7" name="nrVersion">
    <vt:lpwstr>1</vt:lpwstr>
  </property>
  <property fmtid="{D5CDD505-2E9C-101B-9397-08002B2CF9AE}" pid="8" name="nrType">
    <vt:lpwstr>WORDX</vt:lpwstr>
  </property>
  <property fmtid="{D5CDD505-2E9C-101B-9397-08002B2CF9AE}" pid="9" name="nrAuthorDescription">
    <vt:lpwstr>Michael Lazar</vt:lpwstr>
  </property>
  <property fmtid="{D5CDD505-2E9C-101B-9397-08002B2CF9AE}" pid="10" name="nrAuthor">
    <vt:lpwstr>MLA</vt:lpwstr>
  </property>
  <property fmtid="{D5CDD505-2E9C-101B-9397-08002B2CF9AE}" pid="11" name="nrComment">
    <vt:lpwstr/>
  </property>
  <property fmtid="{D5CDD505-2E9C-101B-9397-08002B2CF9AE}" pid="12" name="nrOperator">
    <vt:lpwstr>MLA</vt:lpwstr>
  </property>
  <property fmtid="{D5CDD505-2E9C-101B-9397-08002B2CF9AE}" pid="13" name="nrClientID">
    <vt:lpwstr>16434</vt:lpwstr>
  </property>
  <property fmtid="{D5CDD505-2E9C-101B-9397-08002B2CF9AE}" pid="14" name="nrClientName">
    <vt:lpwstr>Dentons Australia Limited</vt:lpwstr>
  </property>
  <property fmtid="{D5CDD505-2E9C-101B-9397-08002B2CF9AE}" pid="15" name="nrMatterID">
    <vt:lpwstr>40007722</vt:lpwstr>
  </property>
  <property fmtid="{D5CDD505-2E9C-101B-9397-08002B2CF9AE}" pid="16" name="nrMatterName">
    <vt:lpwstr>DADO - target market determinations</vt:lpwstr>
  </property>
  <property fmtid="{D5CDD505-2E9C-101B-9397-08002B2CF9AE}" pid="17" name="nrDocOpenLocation">
    <vt:lpwstr>*{}\!n:0:!s:awscluster:!d:Documents:!f:o,9728117:</vt:lpwstr>
  </property>
  <property fmtid="{D5CDD505-2E9C-101B-9397-08002B2CF9AE}" pid="18" name="WorkSiteDocId">
    <vt:lpwstr>94440369.1</vt:lpwstr>
  </property>
  <property fmtid="{D5CDD505-2E9C-101B-9397-08002B2CF9AE}" pid="19" name="ContentTypeId">
    <vt:lpwstr>0x0101009D228F08B0817C4B80E1220D2C1717C3</vt:lpwstr>
  </property>
  <property fmtid="{D5CDD505-2E9C-101B-9397-08002B2CF9AE}" pid="20" name="Order">
    <vt:r8>866800</vt:r8>
  </property>
  <property fmtid="{D5CDD505-2E9C-101B-9397-08002B2CF9AE}" pid="21" name="MediaServiceImageTags">
    <vt:lpwstr/>
  </property>
  <property fmtid="{D5CDD505-2E9C-101B-9397-08002B2CF9AE}" pid="22" name="GrammarlyDocumentId">
    <vt:lpwstr>6036593cd03f341aefa181d2509369eaf72cd85da10ce1d1f469fff0cdabca7f</vt:lpwstr>
  </property>
</Properties>
</file>